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Харківський національний медичний університет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Факультет: </w:t>
      </w:r>
      <w:r w:rsidRPr="003370C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факультет з підготовки іноземних студентів ННІПІГ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Кафедра внутрішньої медицини № 3 та ендокринології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Галузь знань «22» Охорона здоров’я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Спеціальність «224»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Технології медичної діагностики та лікування</w:t>
      </w:r>
    </w:p>
    <w:p w:rsidR="00B354E2" w:rsidRPr="00FB4A49" w:rsidRDefault="00B354E2" w:rsidP="00B354E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Освітньо-професійна програма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</w:t>
      </w:r>
      <w:r w:rsidRPr="001D311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ершого (бакалаврського) рівня </w:t>
      </w:r>
      <w:r w:rsidRPr="00FB4A4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вищої освіти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B354E2" w:rsidRPr="003370CB" w:rsidRDefault="00B354E2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СИЛАБУС НАВЧАЛЬНОЇ ДИСЦИПЛІНИ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«Внутрішня медицина з оцінкою результатів досліджень»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proofErr w:type="spellStart"/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Силабус</w:t>
      </w:r>
      <w:proofErr w:type="spellEnd"/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затверджено на засіданні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                                        кафедри внутрішньої медицини №3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та ендокринології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Протокол № 13 від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“28” серпня 2020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року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Завідувач кафедри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________________проф. </w:t>
      </w:r>
      <w:r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Журавльова Л.В.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Силабус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затверджено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методичною комісією ХНМУ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з проблем  професійної підготовки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терапевтичного профілю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Протокол №_1_від. «__</w:t>
      </w:r>
      <w:r w:rsidR="00B354E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31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_»_серпня_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2020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Голова 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                                             ___________________проф.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Кравчун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П.Г.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Харків – 20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20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НАЗВА НАВЧАЛЬНОЇ ДИСЦИПЛІНИ: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Внутрішня медицина з оцінкою результатів досліджень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Упорядники </w:t>
      </w:r>
      <w:proofErr w:type="spellStart"/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силабусу</w:t>
      </w:r>
      <w:proofErr w:type="spellEnd"/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:</w:t>
      </w:r>
    </w:p>
    <w:p w:rsidR="003370CB" w:rsidRPr="003370CB" w:rsidRDefault="003370CB" w:rsidP="003370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hyperlink r:id="rId6" w:history="1"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prof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zhuravlyova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@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gmail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eastAsia="uk-UA"/>
          </w:rPr>
          <w:t>.</w:t>
        </w:r>
        <w:r w:rsidRPr="003370CB">
          <w:rPr>
            <w:rFonts w:ascii="Times New Roman" w:eastAsia="Calibri" w:hAnsi="Times New Roman" w:cs="Times New Roman"/>
            <w:b/>
            <w:i/>
            <w:color w:val="0563C1" w:themeColor="hyperlink"/>
            <w:sz w:val="28"/>
            <w:szCs w:val="28"/>
            <w:u w:val="single"/>
            <w:lang w:val="en-US" w:eastAsia="uk-UA"/>
          </w:rPr>
          <w:t>com</w:t>
        </w:r>
      </w:hyperlink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Кривоносова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elenaendomed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27@</w:t>
      </w:r>
      <w:proofErr w:type="spellStart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gmail</w:t>
      </w:r>
      <w:proofErr w:type="spellEnd"/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val="en-US" w:eastAsia="uk-UA"/>
        </w:rPr>
        <w:t>com</w:t>
      </w:r>
      <w:r w:rsidRPr="003370CB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).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Сайт кафедри: http://vnmed3.kharkiv.ua/.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Розклад проведення занять: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понеділок – п’ятниця (9.00. – 12.50. перша зміна та 13.20. – 17.10.) – друга зміна, у відповідності до розкладу).</w:t>
      </w: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Інформація про дисципліну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Опис дисципліни.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Третій курс.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Третій рік навчання (мс 3 та мс 2), 5 та 6 семестри.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Обсяг дисципліни: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Кількість кредитів  – 6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кількість годин – 180.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Годин для навчання: аудиторних – </w:t>
      </w:r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8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4, самостійної роботи студента – 96.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Лекції – 28 годин.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Практичні заняття 56 годин.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Самостійна робота 96 годин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 контролю: іспит.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1" w:name="_Hlk49686437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Загальна характеристика дисципліни: курс з внутрішньої медицини (розділ «Внутрішня медицина з оцінкою результатів досліджень»)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2" w:name="_Hlk49696481"/>
      <w:bookmarkEnd w:id="1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Сторінка в </w:t>
      </w:r>
      <w:r w:rsidRPr="003370CB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Moodle</w:t>
      </w:r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http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://31.128.79.157:8083/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course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/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index</w:t>
        </w:r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.</w:t>
        </w:r>
        <w:proofErr w:type="spellStart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php</w:t>
        </w:r>
        <w:proofErr w:type="spellEnd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?</w:t>
        </w:r>
        <w:proofErr w:type="spellStart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uk-UA"/>
          </w:rPr>
          <w:t>categoryid</w:t>
        </w:r>
        <w:proofErr w:type="spellEnd"/>
        <w:r w:rsidRPr="003370C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uk-UA"/>
          </w:rPr>
          <w:t>=14</w:t>
        </w:r>
      </w:hyperlink>
      <w:r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3370CB" w:rsidP="00BE4FD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hanging="10"/>
        <w:jc w:val="both"/>
        <w:rPr>
          <w:rFonts w:ascii="Times New Roman" w:eastAsia="MS Mincho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Мета та завдання дисципліни.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Метою викладання навчальної дисципліни «Внутрішня медицина з оцінкою результатів досліджень» є </w:t>
      </w:r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здобуття та поглиблення знань, вмінь, навичок та інших </w:t>
      </w:r>
      <w:proofErr w:type="spellStart"/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>компетентностей</w:t>
      </w:r>
      <w:proofErr w:type="spellEnd"/>
      <w:r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з внутрішньої медицини, </w:t>
      </w:r>
      <w:r w:rsidRPr="003370CB">
        <w:rPr>
          <w:rFonts w:ascii="Times New Roman" w:eastAsia="MS Mincho" w:hAnsi="Times New Roman" w:cs="Times New Roman"/>
          <w:sz w:val="28"/>
          <w:szCs w:val="28"/>
          <w:lang w:val="uk-UA" w:eastAsia="uk-UA"/>
        </w:rPr>
        <w:t>необхідних у професійній діяльності, які встановлені на основі освітньо-професійної програми.</w:t>
      </w:r>
    </w:p>
    <w:p w:rsidR="003370CB" w:rsidRPr="003370CB" w:rsidRDefault="00BE4FDE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       </w:t>
      </w:r>
      <w:r w:rsidR="003370CB" w:rsidRPr="003370CB">
        <w:rPr>
          <w:rFonts w:ascii="Times New Roman" w:eastAsia="Calibri" w:hAnsi="Times New Roman" w:cs="Times New Roman"/>
          <w:spacing w:val="-2"/>
          <w:sz w:val="28"/>
          <w:szCs w:val="28"/>
          <w:lang w:val="uk-UA" w:eastAsia="uk-UA"/>
        </w:rPr>
        <w:t xml:space="preserve">Основними завданнями вивчення дисципліни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«Внутрішня медицина з оцінкою результатів досліджень» є набуття студентами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224 "Технології медичної діагностики та лікування"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3" w:name="_Hlk49686665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Статус та формат дисципліни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Дисципліна нормативна, формат змішаний.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Методи навчання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Рекомендована література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1.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Свінціцький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О.О.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Абрагамович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П.М. Боднар та ін.; За ред. проф. А.С.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Свінціцького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– ВСВ «Медицина», 2014. – 1272 с. + 16с.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кольоров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вкл.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2.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Гастроентерологія. Підручник: У 2 Т. -Т.1 / за ред.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Н.В Харченко., О.Я. Бабака.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-Кіровоград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Поліум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2016. - 488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3.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Гастроентерологія. Підручник: У 2 Т. -Т.2 / за ред.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проф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Н.В Харченко., О.Я. Бабака.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-Кіровоград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Поліум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432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4.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Ендокринологія: підручник (П.М. Боднар, Г.П.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Михальчишин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Ю.І.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Комісаренко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та ін.) За ред. професора П.М. Боднара, - Вид. 4, перероб. та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доп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– Вінниця: Нова Книга, 2017. – 456 с.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5.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Davidson's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Medicine23rd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Editors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Stuart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Ralston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Penman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Mark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Strachan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Richard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Hobson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Elsevier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 - 2018. – 1440p.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6.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Endocrinology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textbook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Petro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M. Bodnar.- 4th 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updated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Vinnitsa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Nova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Knyha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2017. – 328 р.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7.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Practice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Infectious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Diseases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2-Volume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set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/ J.E.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Bennet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R.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Dolin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, M.J.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Blaser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– 8-th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edition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Saunders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Publisher, 2014.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8.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ab/>
        <w:t xml:space="preserve">USMLE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Step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 CK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Lecture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Notes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2017: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Internal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Medicine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Test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Prep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). - 2016. -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Published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by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Kaplan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Medical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. - 474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pages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Moodle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на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піддомен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сайта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http://distance-training. vnmed3.kharkiv.ua.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Пререквізити</w:t>
      </w:r>
      <w:proofErr w:type="spellEnd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та </w:t>
      </w:r>
      <w:proofErr w:type="spellStart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кореквізити</w:t>
      </w:r>
      <w:proofErr w:type="spellEnd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 xml:space="preserve"> дисципліни.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3370CB" w:rsidRPr="003370CB" w:rsidRDefault="003370CB" w:rsidP="003370C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bookmarkStart w:id="4" w:name="_Hlk49691830"/>
      <w:bookmarkEnd w:id="3"/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Результати навчання.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знань, які здобуває здобувач вищої освіти в процесі вивчення дисципліни: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701" w:hanging="1571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основні  клінічні  синдроми  при  захворюваннях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загальні та «тривожні» симптоми при захворюваннях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методики проведення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фізикального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обстеження  хворих на патологію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287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етіопатогенетичні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механізми  розвитку  захворювань  внутрішніх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сучасні  класифікації,  особливості  перебігу  та  ускладнення </w:t>
      </w: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lastRenderedPageBreak/>
        <w:t xml:space="preserve">захворювань внутрішніх органів; </w:t>
      </w:r>
    </w:p>
    <w:p w:rsidR="003370CB" w:rsidRPr="003370CB" w:rsidRDefault="003370CB" w:rsidP="00B354E2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134" w:hanging="1134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  сучасні  стандарти  та  протоколи  діагностики  захворювань внутрішніх    органів;</w:t>
      </w:r>
    </w:p>
    <w:p w:rsidR="003370CB" w:rsidRPr="003370CB" w:rsidRDefault="003370CB" w:rsidP="003370C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142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сучасні  алгоритми лікування  при  захворюваннях внутрішніх органів.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Перелік умінь та навиків, які здобуває здобувач вищої освіти в процесі вивчення дисципліни: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Проводити опитування і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фізикальне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 обстеження хворих з основними захворюваннями органів травлення, дихання, серцево-судинної системи, нирок, сполучної тканини, крові та кровотворних органів, ендокринної системи та аналізувати їх результати.</w:t>
      </w:r>
    </w:p>
    <w:p w:rsidR="003370CB" w:rsidRPr="003370CB" w:rsidRDefault="003370CB" w:rsidP="003370CB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Визначати етіологічні та патогенетичні фактори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Аналізувати  типову  клінічну  картину  найбільш 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Виявляти різні клінічні варіанти та ускладнення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органів  травлення,  дихання,  серцево-судинної системи, нирок, сполучної тканини, крові  та  кровотворних  органів,  ендокринної системи та їх ускладненнях.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Визначати  тактику  ведення  (рекомендації  стосовно  режиму,  дієти, </w:t>
      </w:r>
    </w:p>
    <w:p w:rsidR="003370CB" w:rsidRPr="003370CB" w:rsidRDefault="003370CB" w:rsidP="00B354E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прогнозмодифікуюче</w:t>
      </w:r>
      <w:proofErr w:type="spellEnd"/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, при найбільш поширених захворюваннях  органів  травлення,  дихання,  серцево-судинної системи, нирок, сполучної тканини, крові  та кровотворних органів, ендокринної системи та їх ускладненнях.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Оцінювати  прогноз  та  працездатність  при найбільш  поширених захворюваннях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Проводити первинну і вторинну профілактику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 xml:space="preserve">Виконувати медичні маніпуляції. </w:t>
      </w:r>
    </w:p>
    <w:p w:rsidR="003370CB" w:rsidRPr="003370CB" w:rsidRDefault="003370CB" w:rsidP="003370CB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</w:pPr>
    </w:p>
    <w:bookmarkEnd w:id="4"/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iCs/>
          <w:sz w:val="28"/>
          <w:szCs w:val="28"/>
          <w:lang w:val="uk-UA" w:eastAsia="uk-UA"/>
        </w:rPr>
        <w:t>Зміст дисципліни</w:t>
      </w:r>
    </w:p>
    <w:bookmarkEnd w:id="2"/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Навчально-тематичний план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Холецистит. ЖКХ.</w:t>
            </w: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ХОЗЛ. </w:t>
            </w:r>
            <w:proofErr w:type="spellStart"/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Пневмония</w:t>
            </w:r>
            <w:proofErr w:type="spellEnd"/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Бронхіальна астма.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Ревматизм. Набуті вади серця. Гіпертонічна хвороба.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Атеросклероз. ІХС. Стенокардія. Інфаркт міокарда.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Сечокам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’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яна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хвороба. Хронічна ниркова недостатність.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Системний червоний вовчок.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Гіпотиреоз.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180</w:t>
            </w:r>
          </w:p>
        </w:tc>
      </w:tr>
    </w:tbl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Теми лекцій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Холецистит. ЖКХ. Панкреатит.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Пневмонії. ХОЗЛ.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Атеросклероз. ІХС. Стенокардія. ІМ.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</w:p>
        </w:tc>
      </w:tr>
    </w:tbl>
    <w:p w:rsidR="003370CB" w:rsidRPr="003370CB" w:rsidRDefault="003370CB" w:rsidP="00337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6. Теми практичних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ГЕРХ. Гастрити. Виразкова хвороба.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Ентерити. Виразковий коліт.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Гепатити. Цирози печінки.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uk-UA" w:eastAsia="ru-RU"/>
              </w:rPr>
              <w:t>Холецистит. ЖКХ.</w:t>
            </w: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Панкреатит.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ХОЗЛ. Бронхіальна астма. Пневмонії.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Ревматизм. Набуті вади серця. Гіпертонічна хвороба. Підсумковий контроль.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Атеросклероз. ІХС. Стенокардія. ІМ.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 Пієлонефрит. СКХ. ХНН.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Гіпотиреоз.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3370CB" w:rsidRPr="003370CB" w:rsidTr="00617E9E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56</w:t>
            </w:r>
          </w:p>
        </w:tc>
      </w:tr>
    </w:tbl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Самостійна робота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370CB" w:rsidRPr="003370CB" w:rsidTr="00617E9E">
        <w:trPr>
          <w:trHeight w:val="5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 за темою  «ГЕРХ. Гастрити. ВХ».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«Ентерити та виразковий коліт».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Жовчокам’яна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хвороба, хронічний холецистит. Панкреатит</w:t>
            </w: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.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«Гепатити. Цироз печінки.».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за темою «ХОЗЛ. БА. Астматичний статус. Пневмонії.».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до практичного заняття за темою  «Плеврити.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Бронхоектатична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хвороба. Абсцес легень».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tabs>
                <w:tab w:val="left" w:pos="179"/>
              </w:tabs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Підготовка до практичного заняття за темою «Анемії.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Гемобластози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«Ревматизм. Набуті вади серця. ГХ. Підсумковий контроль.».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до практичного заняття «Атеросклероз. ІХС. Стенокардія. Інфаркт міокарда.».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«Хронічна серцева недостатність. Порушення серцевого ритму.».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до практичного заняття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Гломерулонефрит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 Пієлонефрит. СКХ. ХНН.».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Ревматоїдний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 артрит. СЧВ. Склеродермія.».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>Гіпотиреоз.Тіреотоксикоз</w:t>
            </w:r>
            <w:proofErr w:type="spellEnd"/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.».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Підготовка за темою «Цукровий діабет».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3370CB" w:rsidRPr="003370CB" w:rsidTr="00617E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Підготовка за темою «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Алергози</w:t>
            </w:r>
            <w:proofErr w:type="spellEnd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370CB" w:rsidRPr="003370CB" w:rsidTr="00617E9E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96</w:t>
            </w:r>
          </w:p>
        </w:tc>
      </w:tr>
    </w:tbl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та цінності дисципліни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Щоб досягти цілей навчання і успішно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прой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курс,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першого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дня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включитися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роботу; регулярно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лекції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читати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попередньо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розгляду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практичному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спізнюватися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пропускати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приходити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кафедру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одягнутими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медичний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халат,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змінне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взуття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собі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фонендоскоп,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зошит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ручку;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виконувати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всі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необхідні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щодня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вміти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працювати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партнером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звертатися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допомогою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отримувати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коли Ви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потребуєте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академічна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мобільність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взаємозамінність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залікових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кредитів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обсяг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 кредиту 30 годин).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можуть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обговорювати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різні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завдання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але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їх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строго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індивідуально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списування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різного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роду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програмних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засобів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підказки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користування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мобільним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телефоном, планшетом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іншими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гаджетами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під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Не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допускаються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запізнення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студентів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заняття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Пропуски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відпрацьовуються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година в годину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черговому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викладачу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Прийом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проводяться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щоденно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15.00 – 17.00, по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суботах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«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Положення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відпрацювання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навчальних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занять»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від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07.12.2015 № 415. </w:t>
      </w:r>
    </w:p>
    <w:p w:rsidR="003370CB" w:rsidRPr="003370CB" w:rsidRDefault="00B25DA7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Студенти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особливими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потребами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повинні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зустрітися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або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попередити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його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до</w:t>
      </w:r>
      <w:proofErr w:type="gram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початку</w:t>
      </w:r>
      <w:proofErr w:type="gram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занять, на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прохання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студента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це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може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зробити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староста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групи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Якщо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Вас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виникнуть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будь-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які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питання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будь ласка,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контактуйте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викладачем</w:t>
      </w:r>
      <w:proofErr w:type="spellEnd"/>
      <w:r w:rsidR="003370CB" w:rsidRPr="003370CB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Політика оцінювання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Рекомендовано проводити практичні заняття з включенням: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опитування студентів за темою заняття;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курації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3370CB" w:rsidRPr="003370CB" w:rsidRDefault="003370CB" w:rsidP="003370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контролю кінцевого рівня знань за тестовими завданнями.</w:t>
      </w:r>
    </w:p>
    <w:p w:rsidR="003370CB" w:rsidRPr="003370CB" w:rsidRDefault="007D5DC4" w:rsidP="003370CB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Засвоєння теми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(поточний контроль)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контролюється на практичному занятті відповідно до конкретних цілей,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засвоєння змістових розділів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– на практичному підсумковому занятті. Рекомендується застосовувати </w:t>
      </w:r>
      <w:r w:rsidR="003370CB" w:rsidRPr="003370CB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такі засоби оцінки рівня підготовки студентів: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 w:rsidR="003370CB" w:rsidRPr="003370CB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</w:p>
    <w:p w:rsidR="003370CB" w:rsidRPr="003370CB" w:rsidRDefault="003370CB" w:rsidP="007D5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/>
          <w:iCs/>
          <w:color w:val="333333"/>
          <w:spacing w:val="-2"/>
          <w:sz w:val="28"/>
          <w:szCs w:val="28"/>
          <w:shd w:val="clear" w:color="auto" w:fill="FFFFFF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b/>
          <w:bCs/>
          <w:iCs/>
          <w:color w:val="333333"/>
          <w:spacing w:val="-2"/>
          <w:sz w:val="28"/>
          <w:szCs w:val="28"/>
          <w:shd w:val="clear" w:color="auto" w:fill="FFFFFF"/>
          <w:lang w:val="uk-UA" w:eastAsia="ru-RU"/>
        </w:rPr>
        <w:t xml:space="preserve">      Поточна навчальна діяльність </w:t>
      </w:r>
      <w:r w:rsidRPr="003370CB">
        <w:rPr>
          <w:rFonts w:ascii="Times New Roman" w:eastAsia="Calibri" w:hAnsi="Times New Roman" w:cs="Times New Roman"/>
          <w:iCs/>
          <w:color w:val="333333"/>
          <w:spacing w:val="-2"/>
          <w:sz w:val="28"/>
          <w:szCs w:val="28"/>
          <w:shd w:val="clear" w:color="auto" w:fill="FFFFFF"/>
          <w:lang w:val="uk-UA" w:eastAsia="ru-RU"/>
        </w:rPr>
        <w:t>(ПНД)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 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бали. Наприкінці осіннього семестру вивчення дисципліни 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 xml:space="preserve">не завершується, контроль у семестрі є поточним, то середній бал поточної успішності викладачем кафедри переводиться в 120-бальну шкалу ЕСТS (табл. 1). У подальшому, у весняному семестрі вивчення дисципліни завершується іспитом, середній бал поточної успішності викладачем кафедри переводиться у 200-бальну шкалу ЕСТS. 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sz w:val="24"/>
          <w:szCs w:val="28"/>
          <w:lang w:val="uk-UA" w:eastAsia="ar-SA"/>
        </w:rPr>
      </w:pPr>
      <w:r w:rsidRPr="003370CB">
        <w:rPr>
          <w:rFonts w:ascii="Times New Roman" w:eastAsia="Calibri" w:hAnsi="Times New Roman" w:cs="Times New Roman"/>
          <w:sz w:val="24"/>
          <w:szCs w:val="28"/>
          <w:lang w:val="uk-UA" w:eastAsia="ar-SA"/>
        </w:rPr>
        <w:t xml:space="preserve">                                                                                                                                         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0CB">
        <w:rPr>
          <w:rFonts w:ascii="Times New Roman" w:eastAsia="Calibri" w:hAnsi="Times New Roman" w:cs="Times New Roman"/>
          <w:sz w:val="24"/>
          <w:szCs w:val="28"/>
          <w:lang w:val="uk-UA" w:eastAsia="ar-SA"/>
        </w:rPr>
        <w:t xml:space="preserve">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Таблиця 1</w:t>
      </w:r>
    </w:p>
    <w:p w:rsidR="003370CB" w:rsidRPr="003370CB" w:rsidRDefault="003370CB" w:rsidP="003370CB">
      <w:pPr>
        <w:suppressAutoHyphens/>
        <w:spacing w:after="0" w:line="240" w:lineRule="auto"/>
        <w:ind w:right="-42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Перерахунок середньої оцінки за поточну діяльність у багатобальну шкалу </w:t>
      </w:r>
    </w:p>
    <w:tbl>
      <w:tblPr>
        <w:tblW w:w="6125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542"/>
      </w:tblGrid>
      <w:tr w:rsidR="003370CB" w:rsidRPr="003370CB" w:rsidTr="00617E9E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12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4-бальна шкала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12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0-бальна шкала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3.91-3,94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3.87-3,9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3.83- 3,86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3.79- 3,82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3.74-3,78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3.7- 3,73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89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3.66- 3,69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88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3.62- 3,65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87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3.58-3,61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86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3.54- 3,57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85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3.49- 3,53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3.45-3,48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3.41-3,44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3.37-3,4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3.33- 3,36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80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3.29-3,32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79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3.25-3,28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78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3.21-3,24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77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3.18-3,2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76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3.15- 3,17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75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3.13- 3,14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74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3.1- 3,12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73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3.07- 3,09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72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3.04-3,06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71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3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.</w:t>
            </w:r>
            <w:r w:rsidRPr="003370CB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0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-3,03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70</w:t>
            </w:r>
          </w:p>
        </w:tc>
      </w:tr>
      <w:tr w:rsidR="003370CB" w:rsidRPr="003370CB" w:rsidTr="00617E9E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-6"/>
                <w:sz w:val="24"/>
                <w:lang w:val="uk-UA" w:eastAsia="ru-RU"/>
              </w:rPr>
              <w:t>Менше</w:t>
            </w: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 xml:space="preserve"> 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370CB" w:rsidRPr="003370CB" w:rsidRDefault="003370CB" w:rsidP="003370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4"/>
                <w:lang w:val="uk-UA" w:eastAsia="ru-RU"/>
              </w:rPr>
              <w:t>Недостатньо</w:t>
            </w:r>
          </w:p>
        </w:tc>
      </w:tr>
    </w:tbl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4"/>
          <w:szCs w:val="28"/>
          <w:lang w:val="uk-UA" w:eastAsia="ru-RU"/>
        </w:rPr>
        <w:tab/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</w:p>
    <w:p w:rsidR="003370CB" w:rsidRPr="003370CB" w:rsidRDefault="007D5DC4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Оцінювання самостійної роботи студентів.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370CB" w:rsidRPr="003370CB" w:rsidRDefault="007D5DC4" w:rsidP="003370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Оцінювання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індивідуальних завдань студента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>здійснюється за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uk-UA"/>
        </w:rPr>
        <w:t xml:space="preserve"> умов</w:t>
      </w:r>
      <w:r w:rsidR="003370CB" w:rsidRPr="003370CB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uk-UA"/>
        </w:rPr>
        <w:t xml:space="preserve"> виконання завдань викладача (</w:t>
      </w:r>
      <w:r w:rsidR="003370CB" w:rsidRPr="003370C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доповідь реферату на практичному занятті, доповідь з презентацією на практичному занятті</w:t>
      </w:r>
      <w:r w:rsidR="003370CB" w:rsidRPr="003370C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)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Бали (</w:t>
      </w:r>
      <w:r w:rsidR="003370CB" w:rsidRPr="003370C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не більше як 10)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додаються, як заохочувальні</w:t>
      </w:r>
      <w:r w:rsidR="003370CB" w:rsidRPr="003370CB">
        <w:rPr>
          <w:rFonts w:ascii="Times New Roman" w:eastAsia="MS Mincho" w:hAnsi="Times New Roman" w:cs="Times New Roman"/>
          <w:color w:val="000000"/>
          <w:sz w:val="28"/>
          <w:szCs w:val="28"/>
          <w:lang w:val="uk-UA" w:eastAsia="uk-UA"/>
        </w:rPr>
        <w:t>. З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агальна сума балів за </w:t>
      </w:r>
      <w:r w:rsidR="003370CB" w:rsidRPr="003370C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поточну навчальну діяльність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не може перевищувати 120 балів. 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Підсумковий семестровий контроль </w:t>
      </w:r>
      <w:r w:rsidR="003370CB"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>проводиться після завершення вивчення дисципліни у формі поточного контролю, заліку, які передбачені робочою навчальною програмою з дисципліни.</w:t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lastRenderedPageBreak/>
        <w:t xml:space="preserve">        Поточний контроль (ПК)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>проводиться викладачем академічної групи на останньому занятті та передбачає врахування ПНД. Оцінка визначається у балах від 70 до 120 та відміткою – «відпрацьовано», «не відпрацьовано».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7D5DC4" w:rsidRDefault="00A82896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370CB" w:rsidRPr="0033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Методика проведення підсумкового контролю у осінньому семестрі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Вирішення пакету тестових завдань за змістом навчального матеріалу, який включає наступне: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базові тестові завдання з дисципліни, які охоплюють зміст навчального матеріалу підсумкового заняття Критерій оцінювання – 90,5% вірно вирішених завдань; «склав» або «не склав»);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Оцінювання освоєння практичних навичок (критерії оцінювання – «виконав» або «не виконав»).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Завдання з практичної та професійної підготовки, що відображають уміння та навички під час </w:t>
      </w:r>
      <w:proofErr w:type="spellStart"/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курації</w:t>
      </w:r>
      <w:proofErr w:type="spellEnd"/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тематичних хворих, оцінювання результатів лабораторних та інструментальних методів досліджень та вибору лікувальної тактики, які визначені в переліках робочих навчальних програм.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Завдання з діагностики та надання допомоги при невідкладних станах.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Під час оцінювання знань студента, що входять до даного підсумкового заняття студенту виставляється оцінка за національною шкалою, яка рахується як оцінка за ПНД</w:t>
      </w:r>
      <w:r w:rsidRPr="003370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3370CB" w:rsidRPr="003370CB" w:rsidRDefault="003370CB" w:rsidP="003370C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uk-UA" w:eastAsia="ru-RU"/>
        </w:rPr>
        <w:t xml:space="preserve">            Організація підсумкового контролю - у весняному семестрі іспит з дисципліни -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проводиться завідувачем кафедри та викладачем академічної групи. Перед цим студент повинен на останньому практичному занятті одержати допуск до іспиту. Для цього викладач одержує </w:t>
      </w:r>
      <w:r w:rsidRPr="003370C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 w:rsidRPr="003370CB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(табл.1), яка визначається у балах від 70 до 120. Потім викладач вираховує середнє арифметичне осіннього та весняного семестрів і ця кількість балів є допуском до складання іспиту.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Іспит </w:t>
      </w: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з дисципліни «Внутрішня медицина з оцінкою результатів досліджень» - це процес, протягом якого перевіряються отримані за 3 курс: 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рівень теоретичних знань;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розвиток творчого мислення;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навички самостійної роботи;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Проведення іспиту: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3370CB" w:rsidRPr="003370CB" w:rsidRDefault="003370CB" w:rsidP="003370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Таблиця 2 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Усна відповідь за білетами, які включають теоретичну частину </w:t>
            </w: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За кожну відповідь студент одержує від 10 до 16 балів, що відповідає: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«5» - 16 балів;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«4» - 13 балів;</w:t>
            </w:r>
          </w:p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«3» - 10 балів.</w:t>
            </w: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370CB" w:rsidRPr="003370CB" w:rsidTr="00617E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B" w:rsidRPr="003370CB" w:rsidRDefault="003370CB" w:rsidP="0033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CB" w:rsidRPr="003370CB" w:rsidRDefault="003370CB" w:rsidP="00337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 складанні іспиту мінімальна кількість балів – 50, максимальна – складає 80 балів.</w:t>
      </w:r>
    </w:p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hd w:val="clear" w:color="auto" w:fill="FFFFFF"/>
        <w:tabs>
          <w:tab w:val="left" w:pos="8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val="uk-UA" w:eastAsia="ru-RU"/>
        </w:rPr>
        <w:t xml:space="preserve">ПЕРЕЛІК ПИТАНЬ </w:t>
      </w:r>
      <w:r w:rsidRPr="003370CB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val="uk-UA" w:eastAsia="ru-RU"/>
        </w:rPr>
        <w:t>ДЛЯ</w:t>
      </w:r>
      <w:r w:rsidRPr="003370CB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uk-UA" w:eastAsia="ru-RU"/>
        </w:rPr>
        <w:t xml:space="preserve"> ІСПИТУ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Внесок українських вчених в розвиток вітчизняної терапії.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Основні принципи організації охорони здоров'я в Україні.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Основні клінічні прояви захворювань </w:t>
      </w:r>
      <w:r w:rsidRPr="00337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легень, методи діагностики.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ХОЗЛ. Причини, основні ознаки, діагностичні критерії, принципи терапії,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Бронхіальна астма. Етіологія, патогенез, клінічні прояви, критерії діагностики,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Астматичний статус, діагностика, стадії,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Гострі пневмонії. Визначення. Вогнищева пневмонія, етіологія, основні клінічні прояви,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Крупозна пневмонія. Етіологія,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основні клінічні симптоми, перебіг, можливі ускладнення,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Плеврити. Визначення. Ексудативний плеврит, основні прояви, діагностичні критерії, значення плевральної пункції в діагностиці та лікуванні.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Бронхоектатична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хвороба. Етіологія, клінічні прояви в залежності від періоду,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Абсцес легень. Визначення, причини, клінічні прояви в залежності від періоду,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Емфізема, пневмосклероз. Поняття, причини,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 в легенях, клінічні прояви,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Гострі алергічні хвороби. Поняття про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алергози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алергічні реакції негайного та сповільненого типу. Клінічні прояви анафілактичного шоку, набряку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Квінке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кропивниці, сироваткової хвороби. Невідкладна допомога,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серцево-судинної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системи.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Ревматизм. Етіологія, патогенез, клінічні прояви та діагностичні критерії, лікування, види профілактики. Роль українських вчених у вивченні ревматизму.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Набуті вади серця. Визначення, причини. Основні клінічні прояви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мітральних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аортальних вад серця. Діагностичні критерії,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Гіпертонічна хвороба. Етіологія, патогенез, клінічні прояви, діагностичні критерії, лікування. Гіпертонічні кризи, клінічні прояви</w:t>
      </w:r>
      <w:r w:rsidRPr="003370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невідкладна допомога. Ускладнення гіпертонічної хвороби.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Атеросклероз. Визначення, фактори ризику, форми атеросклерозу,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.ІХС. Стенокардія, визначення, форми, класи стенокардії, клінічні прояви, діагностичні критерії, принципи лікування, надання невідкладної допомоги при приступі,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Гострий інфаркт міокарду. Клінічні прояви, діагностика, перша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допомога, лікування неускладненого інфаркту міокарда. Ускладнення в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ході захворювання, атипові форми інфаркту міокарда, диференціальна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діагностика.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Хронічна недостатність кровообігу. Роль Київської школи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терапевтів в розробці класифікації серцевої недостатності. Причини,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клінічні прояви,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Порушення серцевого ритму. Поняття про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синусову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тахікардію,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брадикардію, екстрасистолію, миготливу аритмію.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травного каналу.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ГЕРХ. Клінічні прояви, діагностичні критерії,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Гастрити. Причини, основні клінічні прояви, лікування, діагностика.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Виразкова хвороба шлунку та 12-палої кишки. Етіологія, патогенез, основні клінічні синдроми, діагностичні критерії, диференціальна діагностика, основні методи лікування. Ускладнення виразкової хвороби, їх клінічні прояви, невідкладна допомога.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Целіакія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Етіологія, патогенез, клінічні прояви, діагностика,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Виразковий коліт. Етіологія, патогенез, основні клінічні прояви, діагностика, лікування, ускладнення, прогноз.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Панкреатит. Причини гострого та хронічного панкреатиту, основні клінічні прояви, методи діагностики,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Гепатити. Етіологія, патогенез, класифікація, основні клінічні синдроми, діагностичні критерії,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Цирози печінки. Поняття, причини, класифікація, клінічні синдроми, стадії, перебіг. Діагностика, принципи лікування, ускладнення,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Холецистити. Визначення, причини, класифікація, клінічні прояви гострого та хронічного холециститу, діагностика,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Жовчно-кам'яна хвороба. Етіологія, патогенез, клінічні прояви печінкової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коліки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диференціальна діагностика. Діагностичні критерії, диспансерне спостереження,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Основна симптоматика, методи діагностики захворювань нирок та сечовивідних шляхів.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Гломерулонефрит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гострий та хронічний. Етіологія, патогенез,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клінічні прояви, перебіг захворювання. Діагностика, принципи лікування, профілактика, диспансерне спостереження за хворими.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Пієлонефрит гострий та хронічний. Етіологія, патогенез, клінічні прояви, діагностика, принципи лікування, профілактика, диспансерне спостереження за хворими.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Сечокам'яна хвороба. Етіологія, патогенез, клінічні прояви, діагностичні критерії, принципи лікування. Надання невідкладної допомоги при приступі ниркової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коліки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Профілактика захворювання.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Хронічна ниркова недостатність. Клінічні і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параклінічні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симптоми, стадії. Діагностика, принципи лікування. Види діалізу, трансплантація нирки.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Основні клінічні прояви, методи діагностики захворювань органів кровотворення.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Анемії. Поняття, класифікація, етіологія, патогенез, клінічні прояви, діагностика, диференціальна діагностика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постгеморагічних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залізодефіцитних, В</w:t>
      </w:r>
      <w:r w:rsidRPr="003370CB">
        <w:rPr>
          <w:rFonts w:ascii="Times New Roman" w:eastAsia="Calibri" w:hAnsi="Times New Roman" w:cs="Times New Roman"/>
          <w:sz w:val="28"/>
          <w:szCs w:val="28"/>
          <w:vertAlign w:val="subscript"/>
          <w:lang w:val="uk-UA" w:eastAsia="ru-RU"/>
        </w:rPr>
        <w:t>і2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-фоліеводефіцитної,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гіпо-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апластичних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 гемолітичних анемій.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Гемобластози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Поняття, причини, класифікація. Гострий лейкоз. Патогенез,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патанатомічні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зміни, клінічні прояви, картина крові, діагностика, принципи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Хронічний мієлолейкоз,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сублейкемічний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мієлоз, еритремія, хронічний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лімфолейкоз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парапротеїнемічні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гемобластози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(мієломна хвороба,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лімфогранульоматоз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 Патогенез, стадії, клінічні прояви, картина крові, діагностика, лікування.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Основна симптоматика, методи діагностики захворювань опорно-рухового апарату.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Ревматоїдний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артрит. Етіологія, патогенез, клінічні прояви, методи діагностики, основні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Системний червоний вовчак. Етіологія, патогенез, клінічні прояви, методи діагностики, основні принципи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Склеродермія. Етіологія, патогенез, клінічні прояви, основні діагностичні критерії, лікування, прогноз.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Гіпотиреоз та тиреотоксикоз. Причини, клінічні прояви, діагностика, лікування, профілактика.</w:t>
      </w:r>
    </w:p>
    <w:p w:rsidR="003370CB" w:rsidRPr="003370CB" w:rsidRDefault="003370CB" w:rsidP="003370C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68"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Цукровий діабет. Причини, клінічні прояви, </w:t>
      </w:r>
      <w:proofErr w:type="spellStart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лікуванння</w:t>
      </w:r>
      <w:proofErr w:type="spellEnd"/>
      <w:r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невідкладна допомога, профілактика.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Оцінка з дисципліни</w:t>
      </w: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  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>Оцінка з дисципліни визначається як сума балів: середнє арифметичне балів за 2 семестри, протягом яких вивчалась дисципліна, які переводяться у 120-бальну шкалу ЕСТС (табл.1) в осінньому  та весняному семестрах.  Потім до них додається кількість балів, які студент отримав під час складання іспиту.</w:t>
      </w:r>
    </w:p>
    <w:p w:rsidR="003370CB" w:rsidRPr="003370CB" w:rsidRDefault="007D5DC4" w:rsidP="003370C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   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Максимальна кількість балів, яку студент може набрати за вивчення дисципліни </w:t>
      </w:r>
      <w:r w:rsidR="003370CB" w:rsidRPr="003370CB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ru-RU"/>
        </w:rPr>
        <w:t>–</w:t>
      </w:r>
      <w:r w:rsidR="003370CB" w:rsidRPr="003370CB">
        <w:rPr>
          <w:rFonts w:ascii="Times New Roman" w:eastAsia="Calibri" w:hAnsi="Times New Roman" w:cs="Times New Roman"/>
          <w:bCs/>
          <w:iCs/>
          <w:sz w:val="28"/>
          <w:szCs w:val="28"/>
          <w:lang w:val="uk-UA" w:eastAsia="ru-RU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Відповідність оцінок за </w:t>
      </w: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  <w:t xml:space="preserve">200 бальною шкалою, 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</w:pP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uk-UA" w:eastAsia="ru-RU"/>
        </w:rPr>
        <w:t>чотирибальною (національною) шкалою та шкалою ЄСТ</w:t>
      </w:r>
      <w:r w:rsidRPr="003370CB">
        <w:rPr>
          <w:rFonts w:ascii="Times New Roman" w:eastAsia="Calibri" w:hAnsi="Times New Roman" w:cs="Times New Roman"/>
          <w:b/>
          <w:spacing w:val="6"/>
          <w:sz w:val="28"/>
          <w:szCs w:val="28"/>
          <w:lang w:val="en-US" w:eastAsia="ru-RU"/>
        </w:rPr>
        <w:t>S</w:t>
      </w:r>
    </w:p>
    <w:p w:rsidR="003370CB" w:rsidRPr="003370CB" w:rsidRDefault="003370CB" w:rsidP="003370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за шкалою </w:t>
            </w: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Оцінка за </w:t>
            </w:r>
          </w:p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 w:eastAsia="ru-RU"/>
              </w:rPr>
              <w:t>чотирибальною</w:t>
            </w: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ru-RU"/>
              </w:rPr>
              <w:t xml:space="preserve"> (</w:t>
            </w:r>
            <w:r w:rsidRPr="003370CB"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val="uk-UA" w:eastAsia="ru-RU"/>
              </w:rPr>
              <w:t>національною) шкалою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Задовільно </w:t>
            </w:r>
          </w:p>
        </w:tc>
      </w:tr>
      <w:tr w:rsidR="003370CB" w:rsidRPr="003370CB" w:rsidTr="00617E9E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CB" w:rsidRPr="003370CB" w:rsidRDefault="003370CB" w:rsidP="00337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370C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</w:tr>
    </w:tbl>
    <w:p w:rsidR="003370CB" w:rsidRPr="003370CB" w:rsidRDefault="003370CB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70CB" w:rsidRPr="003370CB" w:rsidRDefault="00A82896" w:rsidP="003370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кількі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сть балів та відповідну оцінку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залікову книжку та заповнюють відомості успішності студентів з дисципліни за формою 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У-5.03Б –</w:t>
      </w:r>
      <w:r w:rsidR="003370CB" w:rsidRPr="003370CB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іспит</w:t>
      </w:r>
      <w:r w:rsidR="003370CB"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Завідувач кафедри внутрішньої медицини №3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та ендокринології, 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д. мед. н., професор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 </w:t>
      </w:r>
      <w:r w:rsidRPr="003370C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 Л.В. Журавльова</w:t>
      </w:r>
    </w:p>
    <w:p w:rsidR="003370CB" w:rsidRPr="003370CB" w:rsidRDefault="003370CB" w:rsidP="003370C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674A1" w:rsidRPr="003370CB" w:rsidRDefault="003674A1">
      <w:pPr>
        <w:rPr>
          <w:lang w:val="uk-UA"/>
        </w:rPr>
      </w:pPr>
    </w:p>
    <w:sectPr w:rsidR="003674A1" w:rsidRPr="003370CB" w:rsidSect="00CF1D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8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8D"/>
    <w:rsid w:val="003370CB"/>
    <w:rsid w:val="003674A1"/>
    <w:rsid w:val="00516684"/>
    <w:rsid w:val="0072688D"/>
    <w:rsid w:val="007D5DC4"/>
    <w:rsid w:val="00A82896"/>
    <w:rsid w:val="00B25DA7"/>
    <w:rsid w:val="00B354E2"/>
    <w:rsid w:val="00BE4FDE"/>
    <w:rsid w:val="00E06764"/>
    <w:rsid w:val="00E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370C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0C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370CB"/>
  </w:style>
  <w:style w:type="character" w:customStyle="1" w:styleId="FontStyle25">
    <w:name w:val="Font Style25"/>
    <w:uiPriority w:val="99"/>
    <w:rsid w:val="003370C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337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3370CB"/>
    <w:rPr>
      <w:rFonts w:ascii="Times New Roman" w:hAnsi="Times New Roman"/>
      <w:b/>
      <w:i/>
      <w:sz w:val="26"/>
    </w:rPr>
  </w:style>
  <w:style w:type="character" w:customStyle="1" w:styleId="go">
    <w:name w:val="go"/>
    <w:rsid w:val="003370CB"/>
  </w:style>
  <w:style w:type="character" w:customStyle="1" w:styleId="FontStyle87">
    <w:name w:val="Font Style87"/>
    <w:rsid w:val="003370C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3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337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370CB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370C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370CB"/>
  </w:style>
  <w:style w:type="character" w:customStyle="1" w:styleId="FontStyle25">
    <w:name w:val="Font Style25"/>
    <w:uiPriority w:val="99"/>
    <w:rsid w:val="003370C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337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6">
    <w:name w:val="Font Style26"/>
    <w:uiPriority w:val="99"/>
    <w:rsid w:val="003370CB"/>
    <w:rPr>
      <w:rFonts w:ascii="Times New Roman" w:hAnsi="Times New Roman"/>
      <w:b/>
      <w:i/>
      <w:sz w:val="26"/>
    </w:rPr>
  </w:style>
  <w:style w:type="character" w:customStyle="1" w:styleId="go">
    <w:name w:val="go"/>
    <w:rsid w:val="003370CB"/>
  </w:style>
  <w:style w:type="character" w:customStyle="1" w:styleId="FontStyle87">
    <w:name w:val="Font Style87"/>
    <w:rsid w:val="003370C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37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unhideWhenUsed/>
    <w:rsid w:val="0033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2021-01-15T13:49:00Z</dcterms:created>
  <dcterms:modified xsi:type="dcterms:W3CDTF">2021-01-15T13:49:00Z</dcterms:modified>
</cp:coreProperties>
</file>