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23C" w:rsidRDefault="00504771">
      <w:pPr>
        <w:pStyle w:val="1"/>
        <w:spacing w:before="68"/>
        <w:ind w:left="159" w:right="152"/>
        <w:jc w:val="center"/>
      </w:pPr>
      <w:r>
        <w:t>Обґрунтування</w:t>
      </w:r>
      <w:r>
        <w:rPr>
          <w:spacing w:val="-6"/>
        </w:rPr>
        <w:t xml:space="preserve"> </w:t>
      </w:r>
      <w:r>
        <w:t>технічних</w:t>
      </w:r>
      <w:r>
        <w:rPr>
          <w:spacing w:val="-7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якісних</w:t>
      </w:r>
      <w:r>
        <w:rPr>
          <w:spacing w:val="-4"/>
        </w:rPr>
        <w:t xml:space="preserve"> </w:t>
      </w:r>
      <w:r>
        <w:t>характеристик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закупівлі,</w:t>
      </w:r>
      <w:r>
        <w:rPr>
          <w:spacing w:val="-4"/>
        </w:rPr>
        <w:t xml:space="preserve"> </w:t>
      </w:r>
      <w:r>
        <w:t>розміру бюджетного призначення, очікуваної вартості предмета закупівлі</w:t>
      </w:r>
    </w:p>
    <w:p w:rsidR="002E623C" w:rsidRDefault="00504771">
      <w:pPr>
        <w:ind w:left="156" w:right="152"/>
        <w:jc w:val="center"/>
        <w:rPr>
          <w:i/>
          <w:sz w:val="24"/>
        </w:rPr>
      </w:pPr>
      <w:r>
        <w:rPr>
          <w:i/>
          <w:sz w:val="24"/>
        </w:rPr>
        <w:t>(відповідно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пункту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z w:val="24"/>
          <w:vertAlign w:val="superscript"/>
        </w:rPr>
        <w:t>1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постанови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КМУ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від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11.10.2016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710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«Про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ефективне використання державних коштів» (зі змінами))</w:t>
      </w:r>
    </w:p>
    <w:p w:rsidR="002E623C" w:rsidRDefault="002E623C">
      <w:pPr>
        <w:pStyle w:val="a3"/>
        <w:rPr>
          <w:i/>
        </w:rPr>
      </w:pPr>
    </w:p>
    <w:p w:rsidR="002E623C" w:rsidRDefault="00504771">
      <w:pPr>
        <w:pStyle w:val="1"/>
        <w:numPr>
          <w:ilvl w:val="0"/>
          <w:numId w:val="2"/>
        </w:numPr>
        <w:tabs>
          <w:tab w:val="left" w:pos="356"/>
        </w:tabs>
        <w:ind w:right="665" w:firstLine="0"/>
      </w:pPr>
      <w:r>
        <w:t>Найменування,</w:t>
      </w:r>
      <w:r>
        <w:rPr>
          <w:spacing w:val="-4"/>
        </w:rPr>
        <w:t xml:space="preserve"> </w:t>
      </w:r>
      <w:r>
        <w:t>місцезнаходження</w:t>
      </w:r>
      <w:r>
        <w:rPr>
          <w:spacing w:val="-6"/>
        </w:rPr>
        <w:t xml:space="preserve"> </w:t>
      </w:r>
      <w:r>
        <w:t>та</w:t>
      </w:r>
      <w:r>
        <w:rPr>
          <w:spacing w:val="-7"/>
        </w:rPr>
        <w:t xml:space="preserve"> </w:t>
      </w:r>
      <w:r>
        <w:t>ідентифікаційний</w:t>
      </w:r>
      <w:r>
        <w:rPr>
          <w:spacing w:val="-4"/>
        </w:rPr>
        <w:t xml:space="preserve"> </w:t>
      </w:r>
      <w:r>
        <w:t>код</w:t>
      </w:r>
      <w:r>
        <w:rPr>
          <w:spacing w:val="-4"/>
        </w:rPr>
        <w:t xml:space="preserve"> </w:t>
      </w:r>
      <w:r>
        <w:t>замовника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Єдиному державному реєстрі юридичних осіб, фізичних осіб — підприємців та громадських формувань, його категорія:</w:t>
      </w:r>
    </w:p>
    <w:p w:rsidR="002E623C" w:rsidRDefault="00504771">
      <w:pPr>
        <w:pStyle w:val="a4"/>
        <w:numPr>
          <w:ilvl w:val="1"/>
          <w:numId w:val="2"/>
        </w:numPr>
        <w:tabs>
          <w:tab w:val="left" w:pos="535"/>
        </w:tabs>
        <w:spacing w:line="271" w:lineRule="exact"/>
        <w:ind w:left="535"/>
        <w:rPr>
          <w:sz w:val="24"/>
        </w:rPr>
      </w:pPr>
      <w:r>
        <w:rPr>
          <w:sz w:val="24"/>
        </w:rPr>
        <w:t>найменування</w:t>
      </w:r>
      <w:r>
        <w:rPr>
          <w:spacing w:val="-6"/>
          <w:sz w:val="24"/>
        </w:rPr>
        <w:t xml:space="preserve"> </w:t>
      </w:r>
      <w:r>
        <w:rPr>
          <w:sz w:val="24"/>
        </w:rPr>
        <w:t>замовника:</w:t>
      </w:r>
      <w:r>
        <w:rPr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Харківський</w:t>
      </w:r>
      <w:r w:rsidRPr="000106D1">
        <w:rPr>
          <w:b/>
          <w:color w:val="333333"/>
          <w:spacing w:val="-6"/>
          <w:sz w:val="24"/>
        </w:rPr>
        <w:t xml:space="preserve"> </w:t>
      </w:r>
      <w:r w:rsidRPr="000106D1">
        <w:rPr>
          <w:b/>
          <w:color w:val="333333"/>
          <w:sz w:val="24"/>
        </w:rPr>
        <w:t>національний</w:t>
      </w:r>
      <w:r w:rsidRPr="000106D1">
        <w:rPr>
          <w:b/>
          <w:color w:val="333333"/>
          <w:spacing w:val="-3"/>
          <w:sz w:val="24"/>
        </w:rPr>
        <w:t xml:space="preserve"> </w:t>
      </w:r>
      <w:r w:rsidR="000106D1" w:rsidRPr="000106D1">
        <w:rPr>
          <w:b/>
          <w:color w:val="333333"/>
          <w:sz w:val="24"/>
        </w:rPr>
        <w:t>медичний</w:t>
      </w:r>
      <w:r w:rsidRPr="000106D1">
        <w:rPr>
          <w:b/>
          <w:color w:val="333333"/>
          <w:sz w:val="24"/>
        </w:rPr>
        <w:t xml:space="preserve"> </w:t>
      </w:r>
      <w:r w:rsidRPr="000106D1">
        <w:rPr>
          <w:b/>
          <w:color w:val="333333"/>
          <w:spacing w:val="-2"/>
          <w:sz w:val="24"/>
        </w:rPr>
        <w:t>університет</w:t>
      </w:r>
    </w:p>
    <w:p w:rsidR="002E623C" w:rsidRPr="000106D1" w:rsidRDefault="00504771">
      <w:pPr>
        <w:pStyle w:val="a4"/>
        <w:numPr>
          <w:ilvl w:val="1"/>
          <w:numId w:val="2"/>
        </w:numPr>
        <w:tabs>
          <w:tab w:val="left" w:pos="535"/>
        </w:tabs>
        <w:ind w:left="115" w:right="923" w:firstLine="0"/>
        <w:rPr>
          <w:b/>
          <w:sz w:val="24"/>
        </w:rPr>
      </w:pPr>
      <w:r>
        <w:rPr>
          <w:sz w:val="24"/>
        </w:rPr>
        <w:t>місцезнаходження</w:t>
      </w:r>
      <w:r>
        <w:rPr>
          <w:spacing w:val="-7"/>
          <w:sz w:val="24"/>
        </w:rPr>
        <w:t xml:space="preserve"> </w:t>
      </w:r>
      <w:r>
        <w:rPr>
          <w:sz w:val="24"/>
        </w:rPr>
        <w:t>замовника</w:t>
      </w:r>
      <w:r w:rsidRPr="000106D1">
        <w:rPr>
          <w:b/>
          <w:sz w:val="24"/>
        </w:rPr>
        <w:t>:</w:t>
      </w:r>
      <w:r w:rsidRPr="000106D1">
        <w:rPr>
          <w:b/>
          <w:spacing w:val="-4"/>
          <w:sz w:val="24"/>
        </w:rPr>
        <w:t xml:space="preserve"> </w:t>
      </w:r>
      <w:r w:rsidR="000106D1" w:rsidRPr="000106D1">
        <w:rPr>
          <w:b/>
          <w:color w:val="333333"/>
          <w:sz w:val="24"/>
        </w:rPr>
        <w:t>6102</w:t>
      </w:r>
      <w:r w:rsidRPr="000106D1">
        <w:rPr>
          <w:b/>
          <w:color w:val="333333"/>
          <w:sz w:val="24"/>
        </w:rPr>
        <w:t>2,</w:t>
      </w:r>
      <w:r w:rsidRPr="000106D1">
        <w:rPr>
          <w:b/>
          <w:color w:val="333333"/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Україна,</w:t>
      </w:r>
      <w:r w:rsidRPr="000106D1">
        <w:rPr>
          <w:b/>
          <w:color w:val="333333"/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Харківська</w:t>
      </w:r>
      <w:r w:rsidRPr="000106D1">
        <w:rPr>
          <w:b/>
          <w:color w:val="333333"/>
          <w:spacing w:val="-5"/>
          <w:sz w:val="24"/>
        </w:rPr>
        <w:t xml:space="preserve"> </w:t>
      </w:r>
      <w:r w:rsidRPr="000106D1">
        <w:rPr>
          <w:b/>
          <w:color w:val="333333"/>
          <w:sz w:val="24"/>
        </w:rPr>
        <w:t>область,</w:t>
      </w:r>
      <w:r w:rsidRPr="000106D1">
        <w:rPr>
          <w:b/>
          <w:color w:val="333333"/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м.</w:t>
      </w:r>
      <w:r w:rsidRPr="000106D1">
        <w:rPr>
          <w:b/>
          <w:color w:val="333333"/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Харків,</w:t>
      </w:r>
      <w:r w:rsidRPr="000106D1">
        <w:rPr>
          <w:b/>
          <w:color w:val="333333"/>
          <w:spacing w:val="-4"/>
          <w:sz w:val="24"/>
        </w:rPr>
        <w:t xml:space="preserve"> </w:t>
      </w:r>
      <w:r w:rsidR="000106D1" w:rsidRPr="000106D1">
        <w:rPr>
          <w:b/>
          <w:color w:val="333333"/>
          <w:sz w:val="24"/>
        </w:rPr>
        <w:t xml:space="preserve">пр.Науки,4 </w:t>
      </w:r>
    </w:p>
    <w:p w:rsidR="002E623C" w:rsidRDefault="00504771">
      <w:pPr>
        <w:pStyle w:val="a4"/>
        <w:numPr>
          <w:ilvl w:val="1"/>
          <w:numId w:val="2"/>
        </w:numPr>
        <w:tabs>
          <w:tab w:val="left" w:pos="535"/>
        </w:tabs>
        <w:ind w:left="535"/>
        <w:rPr>
          <w:sz w:val="24"/>
        </w:rPr>
      </w:pPr>
      <w:r>
        <w:rPr>
          <w:sz w:val="24"/>
        </w:rPr>
        <w:t>ідентифікаційний</w:t>
      </w:r>
      <w:r>
        <w:rPr>
          <w:spacing w:val="-4"/>
          <w:sz w:val="24"/>
        </w:rPr>
        <w:t xml:space="preserve"> </w:t>
      </w:r>
      <w:r>
        <w:rPr>
          <w:sz w:val="24"/>
        </w:rPr>
        <w:t>код</w:t>
      </w:r>
      <w:r>
        <w:rPr>
          <w:spacing w:val="-2"/>
          <w:sz w:val="24"/>
        </w:rPr>
        <w:t xml:space="preserve"> замовника:</w:t>
      </w:r>
      <w:r w:rsidR="000106D1" w:rsidRPr="000106D1">
        <w:rPr>
          <w:b/>
          <w:color w:val="333333"/>
          <w:spacing w:val="-2"/>
          <w:sz w:val="24"/>
        </w:rPr>
        <w:t>01896866</w:t>
      </w:r>
    </w:p>
    <w:p w:rsidR="002E623C" w:rsidRPr="000106D1" w:rsidRDefault="00504771">
      <w:pPr>
        <w:pStyle w:val="a4"/>
        <w:numPr>
          <w:ilvl w:val="1"/>
          <w:numId w:val="2"/>
        </w:numPr>
        <w:tabs>
          <w:tab w:val="left" w:pos="535"/>
        </w:tabs>
        <w:ind w:left="115" w:right="1316" w:firstLine="0"/>
        <w:rPr>
          <w:b/>
          <w:sz w:val="24"/>
        </w:rPr>
      </w:pPr>
      <w:r>
        <w:rPr>
          <w:sz w:val="24"/>
        </w:rPr>
        <w:t>категорія</w:t>
      </w:r>
      <w:r>
        <w:rPr>
          <w:spacing w:val="-4"/>
          <w:sz w:val="24"/>
        </w:rPr>
        <w:t xml:space="preserve"> </w:t>
      </w:r>
      <w:r>
        <w:rPr>
          <w:sz w:val="24"/>
        </w:rPr>
        <w:t>замовника:</w:t>
      </w:r>
      <w:r>
        <w:rPr>
          <w:spacing w:val="-4"/>
          <w:sz w:val="24"/>
        </w:rPr>
        <w:t xml:space="preserve"> </w:t>
      </w:r>
      <w:r w:rsidR="000106D1">
        <w:rPr>
          <w:b/>
          <w:color w:val="333333"/>
          <w:sz w:val="24"/>
        </w:rPr>
        <w:t>Юридична</w:t>
      </w:r>
      <w:r w:rsidRPr="000106D1">
        <w:rPr>
          <w:b/>
          <w:color w:val="333333"/>
          <w:spacing w:val="-4"/>
          <w:sz w:val="24"/>
        </w:rPr>
        <w:t xml:space="preserve"> </w:t>
      </w:r>
      <w:r w:rsidR="000106D1">
        <w:rPr>
          <w:b/>
          <w:color w:val="333333"/>
          <w:sz w:val="24"/>
        </w:rPr>
        <w:t>особа</w:t>
      </w:r>
      <w:r w:rsidRPr="000106D1">
        <w:rPr>
          <w:b/>
          <w:color w:val="333333"/>
          <w:sz w:val="24"/>
        </w:rPr>
        <w:t>,</w:t>
      </w:r>
      <w:r w:rsidRPr="000106D1">
        <w:rPr>
          <w:b/>
          <w:color w:val="333333"/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які</w:t>
      </w:r>
      <w:r w:rsidRPr="000106D1">
        <w:rPr>
          <w:b/>
          <w:color w:val="333333"/>
          <w:spacing w:val="-6"/>
          <w:sz w:val="24"/>
        </w:rPr>
        <w:t xml:space="preserve"> </w:t>
      </w:r>
      <w:r w:rsidRPr="000106D1">
        <w:rPr>
          <w:b/>
          <w:color w:val="333333"/>
          <w:sz w:val="24"/>
        </w:rPr>
        <w:t>забезпечують</w:t>
      </w:r>
      <w:r w:rsidRPr="000106D1">
        <w:rPr>
          <w:b/>
          <w:color w:val="333333"/>
          <w:spacing w:val="-4"/>
          <w:sz w:val="24"/>
        </w:rPr>
        <w:t xml:space="preserve"> </w:t>
      </w:r>
      <w:r w:rsidRPr="000106D1">
        <w:rPr>
          <w:b/>
          <w:color w:val="333333"/>
          <w:sz w:val="24"/>
        </w:rPr>
        <w:t>потреби</w:t>
      </w:r>
      <w:r w:rsidRPr="000106D1">
        <w:rPr>
          <w:b/>
          <w:color w:val="333333"/>
          <w:spacing w:val="-6"/>
          <w:sz w:val="24"/>
        </w:rPr>
        <w:t xml:space="preserve"> </w:t>
      </w:r>
      <w:r w:rsidRPr="000106D1">
        <w:rPr>
          <w:b/>
          <w:color w:val="333333"/>
          <w:sz w:val="24"/>
        </w:rPr>
        <w:t>держави</w:t>
      </w:r>
      <w:r w:rsidRPr="000106D1">
        <w:rPr>
          <w:b/>
          <w:color w:val="333333"/>
          <w:spacing w:val="-3"/>
          <w:sz w:val="24"/>
        </w:rPr>
        <w:t xml:space="preserve"> </w:t>
      </w:r>
      <w:r w:rsidRPr="000106D1">
        <w:rPr>
          <w:b/>
          <w:color w:val="333333"/>
          <w:sz w:val="24"/>
        </w:rPr>
        <w:t>або територіальної громади</w:t>
      </w:r>
    </w:p>
    <w:p w:rsidR="002E623C" w:rsidRDefault="00504771">
      <w:pPr>
        <w:pStyle w:val="1"/>
        <w:numPr>
          <w:ilvl w:val="0"/>
          <w:numId w:val="2"/>
        </w:numPr>
        <w:tabs>
          <w:tab w:val="left" w:pos="384"/>
        </w:tabs>
        <w:spacing w:before="5"/>
        <w:ind w:right="106" w:firstLine="0"/>
        <w:jc w:val="both"/>
      </w:pPr>
      <w:r>
        <w:t>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</w:t>
      </w:r>
      <w:r>
        <w:rPr>
          <w:spacing w:val="40"/>
        </w:rPr>
        <w:t xml:space="preserve"> </w:t>
      </w:r>
      <w:r>
        <w:t>(лотів) (за наявності):</w:t>
      </w:r>
    </w:p>
    <w:p w:rsidR="007E6874" w:rsidRPr="007E6874" w:rsidRDefault="007E6874" w:rsidP="007E6874">
      <w:pPr>
        <w:ind w:left="115"/>
        <w:rPr>
          <w:bCs/>
          <w:iCs/>
          <w:sz w:val="24"/>
          <w:szCs w:val="24"/>
        </w:rPr>
      </w:pPr>
      <w:r w:rsidRPr="007E6874">
        <w:rPr>
          <w:bCs/>
          <w:iCs/>
          <w:sz w:val="24"/>
          <w:szCs w:val="24"/>
        </w:rPr>
        <w:t>Послуга з управління побутовими відходами</w:t>
      </w:r>
      <w:r>
        <w:rPr>
          <w:bCs/>
          <w:iCs/>
          <w:sz w:val="24"/>
          <w:szCs w:val="24"/>
        </w:rPr>
        <w:t xml:space="preserve">, ДК 021:2015  код 90510000-5 </w:t>
      </w:r>
      <w:r w:rsidR="00504771" w:rsidRPr="00747014">
        <w:rPr>
          <w:bCs/>
          <w:iCs/>
          <w:sz w:val="24"/>
          <w:szCs w:val="24"/>
        </w:rPr>
        <w:t xml:space="preserve">Утилізація/видалення сміття та поводження зі сміттям </w:t>
      </w:r>
    </w:p>
    <w:p w:rsidR="007E6874" w:rsidRPr="003E27FA" w:rsidRDefault="00747014" w:rsidP="007E6874">
      <w:pPr>
        <w:ind w:left="115"/>
        <w:rPr>
          <w:b/>
          <w:bCs/>
          <w:i/>
          <w:iCs/>
          <w:sz w:val="24"/>
          <w:szCs w:val="24"/>
          <w:lang w:val="ru-RU"/>
        </w:rPr>
      </w:pPr>
      <w:r w:rsidRPr="00747014">
        <w:rPr>
          <w:b/>
          <w:bCs/>
          <w:i/>
          <w:iCs/>
          <w:sz w:val="24"/>
          <w:szCs w:val="24"/>
        </w:rPr>
        <w:t xml:space="preserve">Ідентифікатор закупівлі- </w:t>
      </w:r>
      <w:hyperlink r:id="rId5" w:history="1">
        <w:r w:rsidR="003E27FA" w:rsidRPr="00C56AF5">
          <w:rPr>
            <w:rStyle w:val="a5"/>
            <w:b/>
            <w:bCs/>
            <w:i/>
            <w:iCs/>
            <w:sz w:val="24"/>
            <w:szCs w:val="24"/>
          </w:rPr>
          <w:t>https://gov.e-tender.ua/tender/poslugi-ohoroni-dovkillya/UA-2023-12-30-000507-a-posluha-z-upravlinnya-pobutovymy-vidxodamy</w:t>
        </w:r>
      </w:hyperlink>
      <w:r w:rsidR="003E27FA" w:rsidRPr="003E27FA">
        <w:rPr>
          <w:b/>
          <w:bCs/>
          <w:i/>
          <w:iCs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ED3F1F" w:rsidRDefault="007E6874">
      <w:pPr>
        <w:ind w:left="115"/>
        <w:rPr>
          <w:sz w:val="24"/>
        </w:rPr>
      </w:pPr>
      <w:r>
        <w:rPr>
          <w:b/>
          <w:sz w:val="24"/>
        </w:rPr>
        <w:t xml:space="preserve">3. </w:t>
      </w:r>
      <w:r w:rsidR="00504771" w:rsidRPr="00747014">
        <w:rPr>
          <w:b/>
          <w:sz w:val="24"/>
        </w:rPr>
        <w:t>Обґрунтування технічних та якісних характеристик</w:t>
      </w:r>
      <w:r w:rsidR="00504771">
        <w:rPr>
          <w:b/>
          <w:i/>
          <w:spacing w:val="40"/>
          <w:sz w:val="24"/>
        </w:rPr>
        <w:t xml:space="preserve"> </w:t>
      </w:r>
      <w:r w:rsidR="00504771">
        <w:rPr>
          <w:b/>
          <w:i/>
          <w:sz w:val="24"/>
        </w:rPr>
        <w:t>предмета</w:t>
      </w:r>
      <w:r w:rsidR="00504771">
        <w:rPr>
          <w:b/>
          <w:i/>
          <w:spacing w:val="40"/>
          <w:sz w:val="24"/>
        </w:rPr>
        <w:t xml:space="preserve"> </w:t>
      </w:r>
      <w:r w:rsidR="00504771">
        <w:rPr>
          <w:b/>
          <w:i/>
          <w:sz w:val="24"/>
        </w:rPr>
        <w:t>закупівлі:</w:t>
      </w:r>
      <w:r w:rsidR="00504771">
        <w:rPr>
          <w:b/>
          <w:i/>
          <w:spacing w:val="40"/>
          <w:sz w:val="24"/>
        </w:rPr>
        <w:t xml:space="preserve"> </w:t>
      </w:r>
    </w:p>
    <w:p w:rsidR="00ED3F1F" w:rsidRDefault="00ED3F1F" w:rsidP="00816D24">
      <w:pPr>
        <w:ind w:left="115"/>
        <w:jc w:val="both"/>
        <w:rPr>
          <w:sz w:val="24"/>
        </w:rPr>
      </w:pPr>
      <w:r w:rsidRPr="00ED3F1F">
        <w:rPr>
          <w:sz w:val="24"/>
        </w:rPr>
        <w:t>Вибір технічних і якісних характеристик предмета закупівлі обумовлений власними потребами замовника та дотримання норм чинного законодавства, вимог нормативних документів у сфері поводження з побутовими відходами (збирання, перевезення, утилізація, захоронення). Якість послуг у сфері поводження з відходами здійснюється у відповідності до Закону України «Про відходи» та спрямована на задоволення потреб споживача у запобіганні утворенню відходів шляхом їх збирання, перевезення, зберігання, оброблення, утилізації, видалення, знешкодження і захоронення, згідно схеми санітарного очищення (дислокації контейнерів) та графіку вивезення. Перевізник повинен відповідати за вивезення твердих побутових  відходів та утилізацію з територій, зазначених в дислокації та графі</w:t>
      </w:r>
      <w:r w:rsidR="00816D24">
        <w:rPr>
          <w:sz w:val="24"/>
        </w:rPr>
        <w:t>ку вивезення</w:t>
      </w:r>
      <w:r w:rsidR="00816D24" w:rsidRPr="00816D24">
        <w:rPr>
          <w:sz w:val="24"/>
        </w:rPr>
        <w:t xml:space="preserve"> побутових відходів</w:t>
      </w:r>
      <w:r w:rsidRPr="00ED3F1F">
        <w:rPr>
          <w:sz w:val="24"/>
        </w:rPr>
        <w:t>.</w:t>
      </w:r>
    </w:p>
    <w:p w:rsidR="002E623C" w:rsidRPr="007E6874" w:rsidRDefault="007E6874" w:rsidP="007E6874">
      <w:pPr>
        <w:pStyle w:val="a4"/>
        <w:tabs>
          <w:tab w:val="left" w:pos="393"/>
        </w:tabs>
        <w:ind w:right="107"/>
        <w:rPr>
          <w:sz w:val="24"/>
        </w:rPr>
      </w:pPr>
      <w:r>
        <w:rPr>
          <w:b/>
          <w:i/>
          <w:sz w:val="24"/>
        </w:rPr>
        <w:t xml:space="preserve">4. </w:t>
      </w:r>
      <w:r w:rsidR="00504771">
        <w:rPr>
          <w:b/>
          <w:i/>
          <w:sz w:val="24"/>
        </w:rPr>
        <w:t xml:space="preserve">Обґрунтування розміру бюджетного призначення: </w:t>
      </w:r>
      <w:r w:rsidR="00504771" w:rsidRPr="007E6874">
        <w:rPr>
          <w:sz w:val="24"/>
        </w:rPr>
        <w:t>розмір бюджетного призначення, визначений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відповідно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до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розрахунку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до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проекту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кошторису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на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2024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>рік,</w:t>
      </w:r>
      <w:r w:rsidR="00504771" w:rsidRPr="007E6874">
        <w:rPr>
          <w:spacing w:val="40"/>
          <w:sz w:val="24"/>
        </w:rPr>
        <w:t xml:space="preserve"> </w:t>
      </w:r>
      <w:r w:rsidR="00504771" w:rsidRPr="007E6874">
        <w:rPr>
          <w:sz w:val="24"/>
        </w:rPr>
        <w:t xml:space="preserve">становить </w:t>
      </w:r>
      <w:r w:rsidRPr="007E6874">
        <w:rPr>
          <w:sz w:val="24"/>
        </w:rPr>
        <w:t>504000,00</w:t>
      </w:r>
      <w:r>
        <w:rPr>
          <w:sz w:val="24"/>
        </w:rPr>
        <w:t xml:space="preserve"> грн., з</w:t>
      </w:r>
      <w:r w:rsidR="00504771" w:rsidRPr="007E6874">
        <w:rPr>
          <w:sz w:val="24"/>
        </w:rPr>
        <w:t xml:space="preserve"> ПДВ.</w:t>
      </w:r>
    </w:p>
    <w:p w:rsidR="002E623C" w:rsidRDefault="00504771">
      <w:pPr>
        <w:spacing w:line="271" w:lineRule="exact"/>
        <w:ind w:left="115"/>
        <w:jc w:val="both"/>
        <w:rPr>
          <w:i/>
          <w:sz w:val="24"/>
        </w:rPr>
      </w:pPr>
      <w:r>
        <w:rPr>
          <w:sz w:val="24"/>
        </w:rPr>
        <w:t>Заплановано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бюджетному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запиті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—</w:t>
      </w:r>
      <w:r w:rsidR="007E6874">
        <w:rPr>
          <w:i/>
          <w:sz w:val="24"/>
        </w:rPr>
        <w:t>1 послуга (</w:t>
      </w:r>
      <w:r w:rsidR="000106D1">
        <w:rPr>
          <w:b/>
          <w:sz w:val="20"/>
        </w:rPr>
        <w:t>3500,0</w:t>
      </w:r>
      <w:r>
        <w:rPr>
          <w:b/>
          <w:sz w:val="20"/>
        </w:rPr>
        <w:t xml:space="preserve"> </w:t>
      </w:r>
      <w:r>
        <w:rPr>
          <w:b/>
          <w:spacing w:val="-5"/>
          <w:sz w:val="20"/>
        </w:rPr>
        <w:t>м</w:t>
      </w:r>
      <w:r>
        <w:rPr>
          <w:b/>
          <w:spacing w:val="-5"/>
          <w:sz w:val="20"/>
          <w:vertAlign w:val="superscript"/>
        </w:rPr>
        <w:t>3</w:t>
      </w:r>
      <w:r w:rsidR="007E6874">
        <w:rPr>
          <w:b/>
          <w:spacing w:val="-5"/>
          <w:sz w:val="20"/>
          <w:vertAlign w:val="superscript"/>
        </w:rPr>
        <w:t>)</w:t>
      </w:r>
      <w:r>
        <w:rPr>
          <w:i/>
          <w:spacing w:val="-5"/>
          <w:sz w:val="24"/>
        </w:rPr>
        <w:t>.</w:t>
      </w:r>
    </w:p>
    <w:p w:rsidR="002E623C" w:rsidRDefault="00504771" w:rsidP="007E6874">
      <w:pPr>
        <w:pStyle w:val="a4"/>
        <w:tabs>
          <w:tab w:val="left" w:pos="356"/>
        </w:tabs>
        <w:spacing w:before="5"/>
        <w:ind w:left="356"/>
        <w:rPr>
          <w:b/>
          <w:i/>
          <w:sz w:val="24"/>
        </w:rPr>
      </w:pPr>
      <w:r>
        <w:rPr>
          <w:b/>
          <w:i/>
          <w:sz w:val="24"/>
        </w:rPr>
        <w:t>Очікувана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вартість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предмета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закупівлі:</w:t>
      </w:r>
      <w:r>
        <w:rPr>
          <w:b/>
          <w:i/>
          <w:spacing w:val="-3"/>
          <w:sz w:val="24"/>
        </w:rPr>
        <w:t xml:space="preserve"> </w:t>
      </w:r>
      <w:r w:rsidR="007E6874" w:rsidRPr="007E6874">
        <w:rPr>
          <w:b/>
          <w:sz w:val="24"/>
        </w:rPr>
        <w:t>504000,00</w:t>
      </w:r>
      <w:r w:rsidRPr="007E6874">
        <w:rPr>
          <w:b/>
          <w:spacing w:val="-1"/>
          <w:sz w:val="24"/>
        </w:rPr>
        <w:t xml:space="preserve"> </w:t>
      </w:r>
      <w:r w:rsidRPr="007E6874">
        <w:rPr>
          <w:b/>
          <w:sz w:val="24"/>
        </w:rPr>
        <w:t>грн.</w:t>
      </w:r>
      <w:r w:rsidRPr="007E6874">
        <w:rPr>
          <w:b/>
          <w:spacing w:val="-1"/>
          <w:sz w:val="24"/>
        </w:rPr>
        <w:t xml:space="preserve"> </w:t>
      </w:r>
      <w:r w:rsidRPr="007E6874">
        <w:rPr>
          <w:b/>
          <w:sz w:val="24"/>
        </w:rPr>
        <w:t>з</w:t>
      </w:r>
      <w:r w:rsidRPr="007E6874">
        <w:rPr>
          <w:b/>
          <w:spacing w:val="-3"/>
          <w:sz w:val="24"/>
        </w:rPr>
        <w:t xml:space="preserve"> </w:t>
      </w:r>
      <w:r w:rsidR="007E6874">
        <w:rPr>
          <w:b/>
          <w:sz w:val="24"/>
        </w:rPr>
        <w:t>ПДВ</w:t>
      </w:r>
      <w:r w:rsidRPr="007E6874">
        <w:rPr>
          <w:b/>
          <w:i/>
          <w:spacing w:val="-4"/>
          <w:sz w:val="24"/>
        </w:rPr>
        <w:t>.</w:t>
      </w:r>
    </w:p>
    <w:p w:rsidR="002E623C" w:rsidRDefault="007E6874" w:rsidP="007E6874">
      <w:pPr>
        <w:pStyle w:val="1"/>
        <w:spacing w:line="274" w:lineRule="exact"/>
        <w:ind w:left="0"/>
        <w:jc w:val="left"/>
      </w:pPr>
      <w:r>
        <w:t xml:space="preserve">5. </w:t>
      </w:r>
      <w:r w:rsidR="00504771">
        <w:t>Обґрунтування</w:t>
      </w:r>
      <w:r w:rsidR="00504771">
        <w:rPr>
          <w:spacing w:val="-5"/>
        </w:rPr>
        <w:t xml:space="preserve"> </w:t>
      </w:r>
      <w:r w:rsidR="00504771">
        <w:t>очікуваної</w:t>
      </w:r>
      <w:r w:rsidR="00504771">
        <w:rPr>
          <w:spacing w:val="-4"/>
        </w:rPr>
        <w:t xml:space="preserve"> </w:t>
      </w:r>
      <w:r w:rsidR="00504771">
        <w:t>вартості</w:t>
      </w:r>
      <w:r w:rsidR="00504771">
        <w:rPr>
          <w:spacing w:val="-5"/>
        </w:rPr>
        <w:t xml:space="preserve"> </w:t>
      </w:r>
      <w:r w:rsidR="00504771">
        <w:t>предмета</w:t>
      </w:r>
      <w:r w:rsidR="00504771">
        <w:rPr>
          <w:spacing w:val="-3"/>
        </w:rPr>
        <w:t xml:space="preserve"> </w:t>
      </w:r>
      <w:r w:rsidR="00504771">
        <w:rPr>
          <w:spacing w:val="-2"/>
        </w:rPr>
        <w:t>закупівлі:</w:t>
      </w:r>
    </w:p>
    <w:p w:rsidR="002E623C" w:rsidRDefault="00504771" w:rsidP="004A1AC8">
      <w:pPr>
        <w:pStyle w:val="a3"/>
        <w:ind w:left="116" w:right="107"/>
        <w:jc w:val="both"/>
      </w:pPr>
      <w:r>
        <w:t xml:space="preserve"> </w:t>
      </w:r>
      <w:r w:rsidR="004A1AC8">
        <w:t xml:space="preserve">Очікувана вартість закупівлі визначена </w:t>
      </w:r>
      <w:r>
        <w:t xml:space="preserve">відповідно до </w:t>
      </w:r>
      <w:r w:rsidR="004A1AC8">
        <w:t xml:space="preserve">примірної </w:t>
      </w:r>
      <w:r>
        <w:t>Методики визначення очікуваної вартості предмета закупівлі та на підставі проведеного статистичного аналізу</w:t>
      </w:r>
      <w:r w:rsidR="004A1AC8">
        <w:t xml:space="preserve"> загальнодоступної інформації про ціну предмета закупівлі</w:t>
      </w:r>
      <w:r>
        <w:t xml:space="preserve"> </w:t>
      </w:r>
    </w:p>
    <w:p w:rsidR="002E623C" w:rsidRDefault="002E623C">
      <w:pPr>
        <w:pStyle w:val="a3"/>
        <w:rPr>
          <w:sz w:val="20"/>
        </w:rPr>
      </w:pPr>
    </w:p>
    <w:p w:rsidR="002E623C" w:rsidRDefault="002E623C">
      <w:pPr>
        <w:pStyle w:val="a3"/>
        <w:spacing w:before="98"/>
        <w:rPr>
          <w:sz w:val="20"/>
        </w:rPr>
      </w:pPr>
    </w:p>
    <w:sectPr w:rsidR="002E623C">
      <w:type w:val="continuous"/>
      <w:pgSz w:w="11910" w:h="16840"/>
      <w:pgMar w:top="76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64852"/>
    <w:multiLevelType w:val="hybridMultilevel"/>
    <w:tmpl w:val="891A23E2"/>
    <w:lvl w:ilvl="0" w:tplc="DAC20376">
      <w:start w:val="2"/>
      <w:numFmt w:val="decimal"/>
      <w:lvlText w:val="%1."/>
      <w:lvlJc w:val="left"/>
      <w:pPr>
        <w:ind w:left="116" w:hanging="279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uk-UA" w:eastAsia="en-US" w:bidi="ar-SA"/>
      </w:rPr>
    </w:lvl>
    <w:lvl w:ilvl="1" w:tplc="01DE2000">
      <w:numFmt w:val="bullet"/>
      <w:lvlText w:val="•"/>
      <w:lvlJc w:val="left"/>
      <w:pPr>
        <w:ind w:left="1094" w:hanging="279"/>
      </w:pPr>
      <w:rPr>
        <w:rFonts w:hint="default"/>
        <w:lang w:val="uk-UA" w:eastAsia="en-US" w:bidi="ar-SA"/>
      </w:rPr>
    </w:lvl>
    <w:lvl w:ilvl="2" w:tplc="F1CCB142">
      <w:numFmt w:val="bullet"/>
      <w:lvlText w:val="•"/>
      <w:lvlJc w:val="left"/>
      <w:pPr>
        <w:ind w:left="2069" w:hanging="279"/>
      </w:pPr>
      <w:rPr>
        <w:rFonts w:hint="default"/>
        <w:lang w:val="uk-UA" w:eastAsia="en-US" w:bidi="ar-SA"/>
      </w:rPr>
    </w:lvl>
    <w:lvl w:ilvl="3" w:tplc="DD269F1C">
      <w:numFmt w:val="bullet"/>
      <w:lvlText w:val="•"/>
      <w:lvlJc w:val="left"/>
      <w:pPr>
        <w:ind w:left="3043" w:hanging="279"/>
      </w:pPr>
      <w:rPr>
        <w:rFonts w:hint="default"/>
        <w:lang w:val="uk-UA" w:eastAsia="en-US" w:bidi="ar-SA"/>
      </w:rPr>
    </w:lvl>
    <w:lvl w:ilvl="4" w:tplc="7196E530">
      <w:numFmt w:val="bullet"/>
      <w:lvlText w:val="•"/>
      <w:lvlJc w:val="left"/>
      <w:pPr>
        <w:ind w:left="4018" w:hanging="279"/>
      </w:pPr>
      <w:rPr>
        <w:rFonts w:hint="default"/>
        <w:lang w:val="uk-UA" w:eastAsia="en-US" w:bidi="ar-SA"/>
      </w:rPr>
    </w:lvl>
    <w:lvl w:ilvl="5" w:tplc="F9861CC0">
      <w:numFmt w:val="bullet"/>
      <w:lvlText w:val="•"/>
      <w:lvlJc w:val="left"/>
      <w:pPr>
        <w:ind w:left="4993" w:hanging="279"/>
      </w:pPr>
      <w:rPr>
        <w:rFonts w:hint="default"/>
        <w:lang w:val="uk-UA" w:eastAsia="en-US" w:bidi="ar-SA"/>
      </w:rPr>
    </w:lvl>
    <w:lvl w:ilvl="6" w:tplc="3C40C44E">
      <w:numFmt w:val="bullet"/>
      <w:lvlText w:val="•"/>
      <w:lvlJc w:val="left"/>
      <w:pPr>
        <w:ind w:left="5967" w:hanging="279"/>
      </w:pPr>
      <w:rPr>
        <w:rFonts w:hint="default"/>
        <w:lang w:val="uk-UA" w:eastAsia="en-US" w:bidi="ar-SA"/>
      </w:rPr>
    </w:lvl>
    <w:lvl w:ilvl="7" w:tplc="7FEA9E7C">
      <w:numFmt w:val="bullet"/>
      <w:lvlText w:val="•"/>
      <w:lvlJc w:val="left"/>
      <w:pPr>
        <w:ind w:left="6942" w:hanging="279"/>
      </w:pPr>
      <w:rPr>
        <w:rFonts w:hint="default"/>
        <w:lang w:val="uk-UA" w:eastAsia="en-US" w:bidi="ar-SA"/>
      </w:rPr>
    </w:lvl>
    <w:lvl w:ilvl="8" w:tplc="A2CAD0E6">
      <w:numFmt w:val="bullet"/>
      <w:lvlText w:val="•"/>
      <w:lvlJc w:val="left"/>
      <w:pPr>
        <w:ind w:left="7917" w:hanging="279"/>
      </w:pPr>
      <w:rPr>
        <w:rFonts w:hint="default"/>
        <w:lang w:val="uk-UA" w:eastAsia="en-US" w:bidi="ar-SA"/>
      </w:rPr>
    </w:lvl>
  </w:abstractNum>
  <w:abstractNum w:abstractNumId="1" w15:restartNumberingAfterBreak="0">
    <w:nsid w:val="4F1B0A7D"/>
    <w:multiLevelType w:val="multilevel"/>
    <w:tmpl w:val="B10CA7B6"/>
    <w:lvl w:ilvl="0">
      <w:start w:val="1"/>
      <w:numFmt w:val="decimal"/>
      <w:lvlText w:val="%1."/>
      <w:lvlJc w:val="left"/>
      <w:pPr>
        <w:ind w:left="116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6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1576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612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64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68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21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57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93" w:hanging="42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23C"/>
    <w:rsid w:val="000106D1"/>
    <w:rsid w:val="002E623C"/>
    <w:rsid w:val="003E27FA"/>
    <w:rsid w:val="004A1AC8"/>
    <w:rsid w:val="00504771"/>
    <w:rsid w:val="00747014"/>
    <w:rsid w:val="007E6874"/>
    <w:rsid w:val="00816D24"/>
    <w:rsid w:val="008C6B35"/>
    <w:rsid w:val="00ED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47F58"/>
  <w15:docId w15:val="{8205D2C4-73B9-4342-8591-F7D5ED71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16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5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3E27FA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E2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v.e-tender.ua/tender/poslugi-ohoroni-dovkillya/UA-2023-12-30-000507-a-posluha-z-upravlinnya-pobutovymy-vidxodam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User</cp:lastModifiedBy>
  <cp:revision>3</cp:revision>
  <dcterms:created xsi:type="dcterms:W3CDTF">2024-01-02T07:07:00Z</dcterms:created>
  <dcterms:modified xsi:type="dcterms:W3CDTF">2024-01-02T07:09:00Z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2023-12-18T00:00:00Z</vt:filetime>
  </property>
  <property fmtid="{D5CDD505-2E9C-101B-9397-08002B2CF9AE}" pid="5" name="Producer">
    <vt:lpwstr>Adobe PDF Library 21.5.92</vt:lpwstr>
  </property>
  <property fmtid="{D5CDD505-2E9C-101B-9397-08002B2CF9AE}" pid="6" name="SourceModified">
    <vt:lpwstr>D:20231214114528</vt:lpwstr>
  </property>
</Properties>
</file>