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AF" w:rsidRPr="004A77AF" w:rsidRDefault="004A77AF" w:rsidP="004A77AF">
      <w:pPr>
        <w:spacing w:after="0" w:line="284" w:lineRule="auto"/>
        <w:ind w:left="5" w:right="16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Обґрунтування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77A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A77AF">
        <w:rPr>
          <w:rFonts w:ascii="Times New Roman" w:hAnsi="Times New Roman" w:cs="Times New Roman"/>
          <w:sz w:val="24"/>
          <w:szCs w:val="24"/>
        </w:rPr>
        <w:t>ічних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характеристик предмета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4A77AF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4A77AF">
        <w:rPr>
          <w:rFonts w:ascii="Times New Roman" w:hAnsi="Times New Roman" w:cs="Times New Roman"/>
          <w:sz w:val="24"/>
          <w:szCs w:val="24"/>
        </w:rPr>
        <w:t>признач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технічних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якісних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характеристик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бюджетного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очікуваної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вартості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предмета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(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відповідно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пункту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4</w:t>
      </w:r>
      <w:r w:rsidRPr="004A77AF">
        <w:rPr>
          <w:rFonts w:ascii="Times New Roman" w:eastAsia="Times New Roman" w:hAnsi="Times New Roman" w:cs="Times New Roman"/>
          <w:color w:val="000000"/>
          <w:sz w:val="24"/>
          <w:vertAlign w:val="superscript"/>
          <w:lang w:val="en-US"/>
        </w:rPr>
        <w:t xml:space="preserve">1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постанови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КМУ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від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11.10.2016 № 710 «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ефективне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використання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державних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>коштів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  </w:t>
      </w:r>
    </w:p>
    <w:p w:rsidR="004A77AF" w:rsidRPr="004A77AF" w:rsidRDefault="004A77AF" w:rsidP="004A77AF">
      <w:pPr>
        <w:spacing w:after="156" w:line="259" w:lineRule="auto"/>
        <w:ind w:left="58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1.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Найменування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місцезнаходження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ідентифікаційний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код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замовника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в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Єдиному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державному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реєстрі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юридичних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фізичних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осіб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—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підприємців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та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громадських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формувань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його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категорія</w:t>
      </w:r>
      <w:proofErr w:type="spellEnd"/>
      <w:r w:rsidRPr="004A7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: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Харківський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національний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медичний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університет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61022, м. Харків, пр. Науки, 4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ЄДРПОУ-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01896866, </w:t>
      </w:r>
    </w:p>
    <w:p w:rsidR="004A77AF" w:rsidRPr="004A77AF" w:rsidRDefault="004A77AF" w:rsidP="004A77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Юридична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особи,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забезпечують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громади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A77AF" w:rsidRPr="004A77AF" w:rsidRDefault="004A77AF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2.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Назва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із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зазначенням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коду 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Єдиним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закупівельним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словником (у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разі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поділу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на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такі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відомості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повинні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зазначатися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стосовно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кожного лота) 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назви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відповідних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класифікаторів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і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частин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(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лотів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) (за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наявності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):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ДК 021:2015 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Єдиний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закупівельний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 словник: 15810000-9 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Хлібопродукти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proofErr w:type="gram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св</w:t>
      </w:r>
      <w:proofErr w:type="gram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іжовипечені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хлібобулочні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 та 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кондитерські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вироби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Хліб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житньо-пшеничний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Хліб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пшеничний</w:t>
      </w:r>
      <w:proofErr w:type="spellEnd"/>
      <w:r w:rsidR="008204CB" w:rsidRPr="008204CB">
        <w:rPr>
          <w:rFonts w:ascii="Times New Roman" w:eastAsia="Times New Roman" w:hAnsi="Times New Roman" w:cs="Times New Roman"/>
          <w:color w:val="000000"/>
          <w:sz w:val="24"/>
        </w:rPr>
        <w:t>, Батон)</w:t>
      </w:r>
    </w:p>
    <w:p w:rsidR="004A77AF" w:rsidRDefault="004A77AF" w:rsidP="004A77AF">
      <w:pPr>
        <w:spacing w:after="19" w:line="257" w:lineRule="auto"/>
        <w:jc w:val="both"/>
        <w:rPr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3.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Ідентифікатор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закупівлі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 w:rsidRPr="004A77A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hyperlink r:id="rId6" w:history="1">
        <w:r w:rsidR="008204CB" w:rsidRPr="001C3A96">
          <w:rPr>
            <w:rStyle w:val="a3"/>
          </w:rPr>
          <w:t>https://gov.e-tender.ua/tender/produkti-harchuvannya/UA-2024-02-21-008437-a-dk-021-2015-yedynyj-zakupivelnyj-slovnyk-15810000-9-xliboprodukty#:</w:t>
        </w:r>
      </w:hyperlink>
    </w:p>
    <w:p w:rsidR="008204CB" w:rsidRPr="008204CB" w:rsidRDefault="008204CB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4A77AF" w:rsidRPr="004A77AF" w:rsidRDefault="008204CB" w:rsidP="004A77AF">
      <w:pPr>
        <w:spacing w:after="19" w:line="257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hyperlink r:id="rId7" w:history="1"/>
      <w:hyperlink r:id="rId8" w:history="1"/>
      <w:hyperlink r:id="rId9" w:history="1"/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Очікувана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вартість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предмета </w:t>
      </w:r>
      <w:proofErr w:type="spell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закупі</w:t>
      </w:r>
      <w:proofErr w:type="gramStart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вл</w:t>
      </w:r>
      <w:proofErr w:type="gram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>і</w:t>
      </w:r>
      <w:proofErr w:type="spellEnd"/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Pr="008204CB">
        <w:rPr>
          <w:rFonts w:ascii="Times New Roman" w:eastAsia="Times New Roman" w:hAnsi="Times New Roman" w:cs="Times New Roman"/>
          <w:b/>
          <w:color w:val="000000"/>
          <w:sz w:val="24"/>
        </w:rPr>
        <w:t>272 249,00</w:t>
      </w:r>
      <w:r w:rsidR="004A77AF"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грн. , з ПДВ.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Обґрунтування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розміру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бюджетного </w:t>
      </w:r>
      <w:proofErr w:type="spellStart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>призначення</w:t>
      </w:r>
      <w:proofErr w:type="spellEnd"/>
      <w:r w:rsidRPr="004A77AF">
        <w:rPr>
          <w:rFonts w:ascii="Times New Roman" w:eastAsia="Times New Roman" w:hAnsi="Times New Roman" w:cs="Times New Roman"/>
          <w:b/>
          <w:color w:val="000000"/>
          <w:sz w:val="24"/>
        </w:rPr>
        <w:t xml:space="preserve">: </w:t>
      </w:r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межах видатків, передбачених на 2024 </w:t>
      </w:r>
      <w:proofErr w:type="gramStart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</w:t>
      </w:r>
      <w:proofErr w:type="gramEnd"/>
      <w:r w:rsidRPr="004A77A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ік по КЕКВ «2230 - Продукти харчування» </w:t>
      </w:r>
    </w:p>
    <w:p w:rsidR="004A77AF" w:rsidRPr="004A77AF" w:rsidRDefault="004A77AF" w:rsidP="004A77AF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4A77AF" w:rsidRDefault="004A77AF" w:rsidP="004A77AF">
      <w:pPr>
        <w:spacing w:after="14" w:line="268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4A77AF">
        <w:rPr>
          <w:rFonts w:ascii="Times New Roman" w:eastAsia="Times New Roman" w:hAnsi="Times New Roman" w:cs="Times New Roman"/>
          <w:b/>
          <w:color w:val="000000"/>
          <w:sz w:val="24"/>
          <w:lang w:val="uk-UA"/>
        </w:rPr>
        <w:t xml:space="preserve">5. Обґрунтування очікуваної вартості предмета закупівлі: </w:t>
      </w:r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Розрахунок очікуваної вартості проводився згідно аналізу інформації з веб-сайтів виробників і постачальників предмету закупівлі. Також при визначені очікуваної вартості закупівлі враховувалась інформація, що міститься в мережі Інтернет у відкритому доступі, у тому числі в електронній системі </w:t>
      </w:r>
      <w:proofErr w:type="spellStart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>Prozorro</w:t>
      </w:r>
      <w:proofErr w:type="spellEnd"/>
      <w:r w:rsidRPr="004A77A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,  станом на дату формування очікуваної вартості предмета закупівлі. </w:t>
      </w:r>
    </w:p>
    <w:p w:rsidR="008204CB" w:rsidRPr="008204CB" w:rsidRDefault="008204CB" w:rsidP="008204C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204C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Замовник самостійно визначає необхідні технічні характеристики предмета закупівлі з огляду на специфіку предмета закупівлі, керуючись принципами здійснення закупівель, та з дотриманням законодавства.</w:t>
      </w:r>
    </w:p>
    <w:p w:rsidR="008204CB" w:rsidRPr="008204CB" w:rsidRDefault="008204CB" w:rsidP="008204C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</w:pPr>
      <w:r w:rsidRPr="008204CB">
        <w:rPr>
          <w:rFonts w:ascii="Times New Roman" w:eastAsia="Times New Roman" w:hAnsi="Times New Roman" w:cs="Times New Roman"/>
          <w:sz w:val="24"/>
          <w:szCs w:val="24"/>
          <w:highlight w:val="white"/>
          <w:lang w:val="uk-UA" w:eastAsia="ru-RU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p w:rsidR="008204CB" w:rsidRPr="008204CB" w:rsidRDefault="008204CB" w:rsidP="008204C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46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7"/>
        <w:gridCol w:w="2813"/>
        <w:gridCol w:w="999"/>
        <w:gridCol w:w="1246"/>
        <w:gridCol w:w="904"/>
        <w:gridCol w:w="1179"/>
        <w:gridCol w:w="1237"/>
      </w:tblGrid>
      <w:tr w:rsidR="008204CB" w:rsidRPr="008204CB" w:rsidTr="00EB1225">
        <w:trPr>
          <w:trHeight w:val="437"/>
        </w:trPr>
        <w:tc>
          <w:tcPr>
            <w:tcW w:w="312" w:type="pct"/>
            <w:vMerge w:val="restart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№</w:t>
            </w:r>
          </w:p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1574" w:type="pct"/>
            <w:vMerge w:val="restart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Найменування товару (марка, тип, вид)</w:t>
            </w:r>
          </w:p>
        </w:tc>
        <w:tc>
          <w:tcPr>
            <w:tcW w:w="559" w:type="pct"/>
            <w:vMerge w:val="restart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697" w:type="pct"/>
            <w:vMerge w:val="restart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Загальна очікувана кількість</w:t>
            </w:r>
          </w:p>
        </w:tc>
        <w:tc>
          <w:tcPr>
            <w:tcW w:w="1858" w:type="pct"/>
            <w:gridSpan w:val="3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в т.ч.</w:t>
            </w:r>
          </w:p>
        </w:tc>
      </w:tr>
      <w:tr w:rsidR="008204CB" w:rsidRPr="008204CB" w:rsidTr="00EB1225">
        <w:trPr>
          <w:cantSplit/>
          <w:trHeight w:val="1134"/>
        </w:trPr>
        <w:tc>
          <w:tcPr>
            <w:tcW w:w="312" w:type="pct"/>
            <w:vMerge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4" w:type="pct"/>
            <w:vMerge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9" w:type="pct"/>
            <w:vMerge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97" w:type="pct"/>
            <w:vMerge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06" w:type="pct"/>
            <w:textDirection w:val="btLr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Їдальня ХНМУ</w:t>
            </w:r>
          </w:p>
        </w:tc>
        <w:tc>
          <w:tcPr>
            <w:tcW w:w="660" w:type="pct"/>
            <w:textDirection w:val="btLr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НДІ ГП та ПЗ ХНМУ</w:t>
            </w:r>
          </w:p>
        </w:tc>
        <w:tc>
          <w:tcPr>
            <w:tcW w:w="692" w:type="pct"/>
            <w:textDirection w:val="btLr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ind w:left="113" w:right="113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ННМЦ «УК» ХНМУ</w:t>
            </w:r>
          </w:p>
        </w:tc>
      </w:tr>
      <w:tr w:rsidR="008204CB" w:rsidRPr="008204CB" w:rsidTr="00EB1225">
        <w:trPr>
          <w:cantSplit/>
          <w:trHeight w:val="433"/>
        </w:trPr>
        <w:tc>
          <w:tcPr>
            <w:tcW w:w="312" w:type="pct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74" w:type="pct"/>
            <w:vAlign w:val="center"/>
          </w:tcPr>
          <w:p w:rsidR="008204CB" w:rsidRPr="008204CB" w:rsidRDefault="008204CB" w:rsidP="008204CB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Хліб житньо-пшеничний</w:t>
            </w:r>
          </w:p>
        </w:tc>
        <w:tc>
          <w:tcPr>
            <w:tcW w:w="559" w:type="pct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8204CB" w:rsidRPr="008204CB" w:rsidRDefault="008204CB" w:rsidP="008204CB">
            <w:pPr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2600</w:t>
            </w:r>
          </w:p>
        </w:tc>
        <w:tc>
          <w:tcPr>
            <w:tcW w:w="506" w:type="pct"/>
            <w:shd w:val="clear" w:color="auto" w:fill="auto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pct"/>
            <w:shd w:val="clear" w:color="auto" w:fill="auto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2600</w:t>
            </w:r>
          </w:p>
        </w:tc>
      </w:tr>
      <w:tr w:rsidR="008204CB" w:rsidRPr="008204CB" w:rsidTr="00EB1225">
        <w:trPr>
          <w:cantSplit/>
          <w:trHeight w:val="433"/>
        </w:trPr>
        <w:tc>
          <w:tcPr>
            <w:tcW w:w="312" w:type="pct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74" w:type="pct"/>
            <w:vAlign w:val="center"/>
          </w:tcPr>
          <w:p w:rsidR="008204CB" w:rsidRPr="008204CB" w:rsidRDefault="008204CB" w:rsidP="008204CB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Хліб пшеничний</w:t>
            </w:r>
          </w:p>
        </w:tc>
        <w:tc>
          <w:tcPr>
            <w:tcW w:w="559" w:type="pct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8204CB" w:rsidRPr="008204CB" w:rsidRDefault="008204CB" w:rsidP="008204CB">
            <w:pPr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2850</w:t>
            </w:r>
          </w:p>
        </w:tc>
        <w:tc>
          <w:tcPr>
            <w:tcW w:w="506" w:type="pct"/>
            <w:shd w:val="clear" w:color="auto" w:fill="auto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60" w:type="pct"/>
            <w:shd w:val="clear" w:color="auto" w:fill="auto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750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2100</w:t>
            </w:r>
          </w:p>
        </w:tc>
      </w:tr>
      <w:tr w:rsidR="008204CB" w:rsidRPr="008204CB" w:rsidTr="00EB1225">
        <w:trPr>
          <w:cantSplit/>
          <w:trHeight w:val="433"/>
        </w:trPr>
        <w:tc>
          <w:tcPr>
            <w:tcW w:w="312" w:type="pct"/>
          </w:tcPr>
          <w:p w:rsidR="008204CB" w:rsidRPr="008204CB" w:rsidRDefault="008204CB" w:rsidP="008204CB">
            <w:pPr>
              <w:widowControl w:val="0"/>
              <w:tabs>
                <w:tab w:val="left" w:pos="1276"/>
              </w:tabs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1574" w:type="pct"/>
            <w:vAlign w:val="center"/>
          </w:tcPr>
          <w:p w:rsidR="008204CB" w:rsidRPr="008204CB" w:rsidRDefault="008204CB" w:rsidP="008204CB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i/>
                <w:sz w:val="24"/>
                <w:szCs w:val="24"/>
                <w:lang w:val="uk-UA" w:eastAsia="ru-RU"/>
              </w:rPr>
              <w:t>Батон</w:t>
            </w:r>
          </w:p>
        </w:tc>
        <w:tc>
          <w:tcPr>
            <w:tcW w:w="559" w:type="pct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uk-UA" w:eastAsia="ru-RU"/>
              </w:rPr>
              <w:t>кг</w:t>
            </w:r>
          </w:p>
        </w:tc>
        <w:tc>
          <w:tcPr>
            <w:tcW w:w="697" w:type="pct"/>
            <w:shd w:val="clear" w:color="auto" w:fill="auto"/>
            <w:vAlign w:val="bottom"/>
          </w:tcPr>
          <w:p w:rsidR="008204CB" w:rsidRPr="008204CB" w:rsidRDefault="008204CB" w:rsidP="008204CB">
            <w:pPr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506" w:type="pct"/>
            <w:shd w:val="clear" w:color="auto" w:fill="auto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300</w:t>
            </w:r>
          </w:p>
        </w:tc>
        <w:tc>
          <w:tcPr>
            <w:tcW w:w="660" w:type="pct"/>
            <w:shd w:val="clear" w:color="auto" w:fill="auto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692" w:type="pct"/>
            <w:shd w:val="clear" w:color="auto" w:fill="auto"/>
            <w:vAlign w:val="bottom"/>
          </w:tcPr>
          <w:p w:rsidR="008204CB" w:rsidRPr="008204CB" w:rsidRDefault="008204CB" w:rsidP="008204CB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</w:pPr>
            <w:r w:rsidRPr="008204CB">
              <w:rPr>
                <w:rFonts w:ascii="Times New Roman" w:eastAsia="Arial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8204CB" w:rsidRPr="008204CB" w:rsidRDefault="008204CB" w:rsidP="008204C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8204CB" w:rsidRPr="008204CB" w:rsidRDefault="008204CB" w:rsidP="008204CB">
      <w:pPr>
        <w:widowControl w:val="0"/>
        <w:tabs>
          <w:tab w:val="left" w:pos="1140"/>
          <w:tab w:val="left" w:pos="3615"/>
          <w:tab w:val="center" w:pos="4677"/>
        </w:tabs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8204CB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Технічні вимоги</w:t>
      </w:r>
    </w:p>
    <w:p w:rsidR="008204CB" w:rsidRPr="008204CB" w:rsidRDefault="008204CB" w:rsidP="008204CB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8204CB">
        <w:rPr>
          <w:rFonts w:ascii="Times New Roman" w:eastAsia="Arial" w:hAnsi="Times New Roman" w:cs="Times New Roman"/>
          <w:b/>
          <w:sz w:val="24"/>
          <w:szCs w:val="24"/>
          <w:lang w:val="uk-UA" w:eastAsia="ru-RU"/>
        </w:rPr>
        <w:t>Хліб житньо-пшеничний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. </w:t>
      </w:r>
      <w:r w:rsidRPr="008204C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Поверхня: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відповідає виду виробу, без забруднення, без великих (більше 1 см ширини) тріщин, кірка не відстає від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мякушки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пропечена, без слідів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непропіку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без ущільнення, еластична, не пригоріла,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мякиш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не липкий, хліб не вологий на дотик, при натиску пальцем приймає першочергову форму, без борошняних грудок, пустот і щільного непористого шару у нижній кірки (загартування). Смак властивий даному виду виробу, без стороннього присмаку,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помірнокислий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 Колір: від світло-коричневого до темно-коричневого, без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підгорілості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 Запах: властивий даному виду виробів, без стороннього запаху. Сорт борошна: 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борошно пшеничне 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вищого або першого ґатунку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>.</w:t>
      </w:r>
      <w:r w:rsidRPr="008204CB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За видом укладання хлібопродуктів: 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на нижню скоринку. </w:t>
      </w:r>
      <w:r w:rsidRPr="008204CB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Термін придатності до споживання не більше ніж 72 годин</w:t>
      </w:r>
      <w:r w:rsidRPr="008204C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 xml:space="preserve">. Оцінка якості: 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>Згідно ДСТУ</w:t>
      </w:r>
      <w:r w:rsidRPr="008204C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lang w:eastAsia="ru-RU"/>
        </w:rPr>
        <w:t>або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ТУ У,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lang w:eastAsia="ru-RU"/>
        </w:rPr>
        <w:t>або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ТУ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lang w:eastAsia="ru-RU"/>
        </w:rPr>
        <w:t>тощо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>.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Форма: витягнута або кругла. </w:t>
      </w:r>
      <w:r w:rsidRPr="008204CB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Смак: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властивий даному виду виробів, без стороннього присмаку.</w:t>
      </w:r>
    </w:p>
    <w:p w:rsidR="008204CB" w:rsidRPr="008204CB" w:rsidRDefault="008204CB" w:rsidP="008204CB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8204CB">
        <w:rPr>
          <w:rFonts w:ascii="Times New Roman" w:eastAsia="Arial" w:hAnsi="Times New Roman" w:cs="Times New Roman"/>
          <w:b/>
          <w:color w:val="000000"/>
          <w:sz w:val="24"/>
          <w:szCs w:val="24"/>
          <w:lang w:val="uk-UA" w:eastAsia="ru-RU"/>
        </w:rPr>
        <w:t>Хліб пшеничний</w:t>
      </w:r>
      <w:r w:rsidRPr="008204CB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Pr="008204C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Поверхня: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відповідає виду виробу, без забруднення, без великих (більше 1 см ширини) тріщин, кірка не відстає від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мякушки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пропечена, без слідів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непропіку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без ущільнення, еластична, не пригоріла,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мякиш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не липкий, хліб не вологий на дотик, при натиску пальцем приймає першочергову форму, без борошняних грудок, пустот і щільного непористого шару у нижній кірки (загартування)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.Смак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не кислий, не  прісний. Колір: від світло-жовтий, без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підгорілості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 Запах: властивий даному виду виробів, без стороннього запаху. Сорт борошна: 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борошно пшеничне 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вищого, першого або другого ґатунку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>.</w:t>
      </w:r>
      <w:r w:rsidRPr="008204CB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За видом укладання хлібопродуктів: 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на нижню скоринку. </w:t>
      </w:r>
      <w:r w:rsidRPr="008204CB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Термін придатності до споживання не більше ніж 48 години. Оцінка якості: 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Згідно ДСТУ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>або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 xml:space="preserve"> ТУ У,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>або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 xml:space="preserve"> ТУ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>тощо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 Форма: витягнута або кругла. </w:t>
      </w:r>
      <w:r w:rsidRPr="008204CB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Смак: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властивий даному виду виробів, без стороннього присмаку.</w:t>
      </w:r>
    </w:p>
    <w:p w:rsidR="008204CB" w:rsidRPr="008204CB" w:rsidRDefault="008204CB" w:rsidP="008204CB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</w:pPr>
      <w:r w:rsidRPr="008204CB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val="uk-UA" w:eastAsia="ru-RU"/>
        </w:rPr>
        <w:t xml:space="preserve">Батон. </w:t>
      </w:r>
      <w:r w:rsidRPr="008204CB">
        <w:rPr>
          <w:rFonts w:ascii="Times New Roman" w:eastAsia="Arial" w:hAnsi="Times New Roman" w:cs="Times New Roman"/>
          <w:bCs/>
          <w:sz w:val="24"/>
          <w:szCs w:val="24"/>
          <w:lang w:val="uk-UA" w:eastAsia="ru-RU"/>
        </w:rPr>
        <w:t>Поверхня: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відповідає виду виробу, без забруднення, без великих (більше 1 см ширини) тріщин, кірка не відстає від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мякушки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пропечена, без слідів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непропіку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, без ущільнення, еластична, не пригоріла,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мякиш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не липкий, хліб не вологий на дотик, при натиску пальцем приймає першочергову форму, без борошняних грудок, пустот і щільного непористого шару у нижній кірки (загартування)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.Смак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не кислий, не  прісний. Колір: від світло-жовтий, без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підгорілості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 Запах: властивий даному виду виробів, без стороннього запаху. Сорт борошна: 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борошно пшеничне 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вищого, першого або другого ґатунку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>.</w:t>
      </w:r>
      <w:r w:rsidRPr="008204CB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 За видом укладання хлібопродуктів: 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на нижню скоринку. </w:t>
      </w:r>
      <w:r w:rsidRPr="008204CB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Термін придатності до споживання не більше ніж 48 години. Оцінка якості: 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Згідно ДСТУ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>або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 xml:space="preserve"> ТУ У,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>або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 xml:space="preserve"> ТУ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ru-RU"/>
        </w:rPr>
        <w:t>тощо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 Форма: витягнута. </w:t>
      </w:r>
      <w:r w:rsidRPr="008204CB">
        <w:rPr>
          <w:rFonts w:ascii="Times New Roman" w:eastAsia="Arial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Смак:</w:t>
      </w: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властивий даному виду виробів, без стороннього присмаку.</w:t>
      </w:r>
    </w:p>
    <w:p w:rsidR="008204CB" w:rsidRPr="008204CB" w:rsidRDefault="008204CB" w:rsidP="008204C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8204CB">
        <w:rPr>
          <w:rFonts w:ascii="Times New Roman" w:eastAsia="Arial" w:hAnsi="Times New Roman" w:cs="Times New Roman"/>
          <w:sz w:val="24"/>
          <w:szCs w:val="24"/>
          <w:shd w:val="clear" w:color="auto" w:fill="FFFFFF"/>
          <w:lang w:val="uk-UA" w:eastAsia="ru-RU"/>
        </w:rPr>
        <w:t>Продукція н</w:t>
      </w:r>
      <w:r w:rsidRPr="008204CB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е повинна містити небезпечні для організму речовини, до складу яких входять штучні, синтетичні барвники, ароматизатори, </w:t>
      </w:r>
      <w:proofErr w:type="spellStart"/>
      <w:r w:rsidRPr="008204CB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підсолоджувачі</w:t>
      </w:r>
      <w:proofErr w:type="spellEnd"/>
      <w:r w:rsidRPr="008204CB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, підсилювачі смаку, консерванти, ГМО, тощо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. </w:t>
      </w:r>
      <w:r w:rsidRPr="008204CB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Транспортування хліба та хлібобулочних виробів повинно здійснюватися в спеціально виділеному транспорті, із спеціально обладнаними полицями, лотками або контейнерами з метою запобігання деформації і забруднення хлібобулочних виробів.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Товар повинен відповідати показникам безпечності та якості для харчових продуктів, які встановлено нормативно-правовими актами України. При кожному постачанні товару обов’язково надаються супровідні документи, що підтверджують його походження, безпечність, якість та умови зберігання.</w:t>
      </w:r>
      <w:r w:rsidRPr="008204CB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У </w:t>
      </w:r>
      <w:proofErr w:type="spellStart"/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>посвідченях</w:t>
      </w:r>
      <w:proofErr w:type="spellEnd"/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 якості по органолептичних показниках має бути зазначено відповідно норм вологість, кислотність, пористість виробу.</w:t>
      </w:r>
    </w:p>
    <w:p w:rsidR="008204CB" w:rsidRPr="008204CB" w:rsidRDefault="008204CB" w:rsidP="008204C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>Дефекти недопустимі - при виявленні Замовником дефекті та будь-якого  іншого недоліку, що може якимось чином вплинути на якісні характеристики товару, Учасник повинен замінити товар в асортименті та кількості, вказаній в заявці Замовника протягом одного дня.</w:t>
      </w:r>
    </w:p>
    <w:p w:rsidR="008204CB" w:rsidRPr="008204CB" w:rsidRDefault="008204CB" w:rsidP="008204CB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 xml:space="preserve">На весь товар повинні бути документи щодо якості та відповідності товару </w:t>
      </w: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lastRenderedPageBreak/>
        <w:t>технічним, санітарним нормам і підтверджуватися відповідними документами згідно з чинним законодавством України.</w:t>
      </w:r>
    </w:p>
    <w:p w:rsidR="008204CB" w:rsidRPr="008204CB" w:rsidRDefault="008204CB" w:rsidP="008204CB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val="uk-UA" w:eastAsia="ru-RU"/>
        </w:rPr>
      </w:pPr>
      <w:r w:rsidRPr="008204CB">
        <w:rPr>
          <w:rFonts w:ascii="Times New Roman" w:eastAsia="Arial" w:hAnsi="Times New Roman" w:cs="Times New Roman"/>
          <w:sz w:val="24"/>
          <w:szCs w:val="24"/>
          <w:lang w:val="uk-UA" w:eastAsia="ru-RU"/>
        </w:rPr>
        <w:t>Товар при поставці повинен супроводжуватись документами виробника, які підтверджують його якість та безпеку.  Документи, що супроводжують товар повинні містити чітку інформацію про дату, час виготовлення товару.</w:t>
      </w:r>
    </w:p>
    <w:p w:rsidR="008204CB" w:rsidRPr="008204CB" w:rsidRDefault="008204CB" w:rsidP="008204CB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</w:pPr>
      <w:r w:rsidRPr="008204CB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Пакування хлібобулочних виробів. Для пак</w:t>
      </w:r>
      <w:r w:rsidRPr="008204CB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у</w:t>
      </w:r>
      <w:proofErr w:type="spellStart"/>
      <w:r w:rsidRPr="008204CB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вання</w:t>
      </w:r>
      <w:proofErr w:type="spellEnd"/>
      <w:r w:rsidRPr="008204CB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 хлібобулочних виробів використовують лотки, ящики, кошики, тару-обладнання контейнерного типу. Воно має велике гігієнічне значення, оскільки виключає доторкування рук людини до готових виробів. Кожну партію виробів забезпечують документацією про якість. </w:t>
      </w:r>
    </w:p>
    <w:p w:rsidR="001738C1" w:rsidRPr="004A77AF" w:rsidRDefault="001738C1" w:rsidP="008204C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sectPr w:rsidR="001738C1" w:rsidRPr="004A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D5E79"/>
    <w:multiLevelType w:val="hybridMultilevel"/>
    <w:tmpl w:val="413AD5A2"/>
    <w:lvl w:ilvl="0" w:tplc="32287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DF5"/>
    <w:rsid w:val="001738C1"/>
    <w:rsid w:val="00353DF5"/>
    <w:rsid w:val="004A77AF"/>
    <w:rsid w:val="008204CB"/>
    <w:rsid w:val="008A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77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2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.e-tender.ua/tender/medicina/UA-2023-12-28-010907-a-dk-021-2015-yedynyj-zakupivelnyj-slovnyk-33140000-3-medychni-materialy-humov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v.e-tender.ua/tender/medicina/UA-2024-01-15-014817-a-dk-021-2015-yedynyj-zakupivelnyj-slovnyk-33600000-6-farmacevtychna-produkcz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v.e-tender.ua/tender/produkti-harchuvannya/UA-2024-02-21-008437-a-dk-021-2015-yedynyj-zakupivelnyj-slovnyk-15810000-9-xliboprodukty#:~:text=UA%2D2024%2D02%2D21%2D008437%2D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v.e-tender.ua/tender/himichna-produkciya/UA-2023-12-26-008644-a-dk-021-2015-yedynyj-zakupivelnyj-slovnyk-24450000-3-ahroximichna-produkcz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1149</Words>
  <Characters>6554</Characters>
  <Application>Microsoft Office Word</Application>
  <DocSecurity>0</DocSecurity>
  <Lines>54</Lines>
  <Paragraphs>15</Paragraphs>
  <ScaleCrop>false</ScaleCrop>
  <Company/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Натали</cp:lastModifiedBy>
  <cp:revision>4</cp:revision>
  <dcterms:created xsi:type="dcterms:W3CDTF">2024-02-26T11:43:00Z</dcterms:created>
  <dcterms:modified xsi:type="dcterms:W3CDTF">2024-02-26T12:00:00Z</dcterms:modified>
</cp:coreProperties>
</file>