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 xml:space="preserve"> словник: 03210000-6 </w:t>
      </w:r>
      <w:proofErr w:type="spellStart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>Зернові</w:t>
      </w:r>
      <w:proofErr w:type="spellEnd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>культури</w:t>
      </w:r>
      <w:proofErr w:type="spellEnd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 xml:space="preserve"> та </w:t>
      </w:r>
      <w:proofErr w:type="spellStart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>картопля</w:t>
      </w:r>
      <w:proofErr w:type="spellEnd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 xml:space="preserve"> (Горох сушений, </w:t>
      </w:r>
      <w:proofErr w:type="spellStart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>Картопля</w:t>
      </w:r>
      <w:proofErr w:type="spellEnd"/>
      <w:r w:rsidR="007B75EF" w:rsidRPr="007B75EF">
        <w:rPr>
          <w:rFonts w:ascii="Times New Roman" w:eastAsia="Times New Roman" w:hAnsi="Times New Roman" w:cs="Times New Roman"/>
          <w:color w:val="000000"/>
          <w:sz w:val="24"/>
        </w:rPr>
        <w:t>)</w:t>
      </w:r>
    </w:p>
    <w:p w:rsidR="004A77AF" w:rsidRDefault="004A77AF" w:rsidP="004A77AF">
      <w:pPr>
        <w:spacing w:after="19" w:line="257" w:lineRule="auto"/>
        <w:jc w:val="both"/>
        <w:rPr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history="1">
        <w:r w:rsidR="007B75EF" w:rsidRPr="00ED61D6">
          <w:rPr>
            <w:rStyle w:val="a3"/>
          </w:rPr>
          <w:t>https://gov.e-tender.ua/tender/produkti-harchuvannya/UA-2024-02-26-006289-a-dk-021-2015-yedynyj-zakupivelnyj-slovnyk-03210000-6-zernovi-kultury-ta#:</w:t>
        </w:r>
      </w:hyperlink>
    </w:p>
    <w:p w:rsidR="007B75EF" w:rsidRPr="007B75EF" w:rsidRDefault="007B75EF" w:rsidP="004A77AF">
      <w:pPr>
        <w:spacing w:after="19" w:line="257" w:lineRule="auto"/>
        <w:jc w:val="both"/>
        <w:rPr>
          <w:lang w:val="uk-UA"/>
        </w:rPr>
      </w:pPr>
    </w:p>
    <w:p w:rsidR="004A77AF" w:rsidRPr="004A77AF" w:rsidRDefault="001F3572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7B75EF" w:rsidRPr="007B75EF">
        <w:rPr>
          <w:rFonts w:ascii="Times New Roman" w:eastAsia="Times New Roman" w:hAnsi="Times New Roman" w:cs="Times New Roman"/>
          <w:b/>
          <w:color w:val="000000"/>
          <w:sz w:val="24"/>
        </w:rPr>
        <w:t>310 433,00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ік по КЕ</w:t>
      </w:r>
      <w:r w:rsidR="007B75E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КВ «2230 - Продукти харчування», «</w:t>
      </w:r>
      <w:r w:rsidR="007B75EF" w:rsidRPr="007B75E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2210 - Предмети, матеріали, обладнання та інвентар</w:t>
      </w:r>
      <w:r w:rsidR="007B75E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».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1F3572" w:rsidRPr="001F3572" w:rsidRDefault="001F3572" w:rsidP="001F357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1F3572" w:rsidRPr="001F3572" w:rsidRDefault="001F3572" w:rsidP="001F357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1F3572" w:rsidRPr="001F3572" w:rsidRDefault="001F3572" w:rsidP="001F357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2532"/>
        <w:gridCol w:w="1032"/>
        <w:gridCol w:w="1482"/>
        <w:gridCol w:w="1007"/>
        <w:gridCol w:w="1007"/>
        <w:gridCol w:w="997"/>
        <w:gridCol w:w="992"/>
      </w:tblGrid>
      <w:tr w:rsidR="001F3572" w:rsidRPr="001F3572" w:rsidTr="006F5446">
        <w:trPr>
          <w:trHeight w:val="437"/>
        </w:trPr>
        <w:tc>
          <w:tcPr>
            <w:tcW w:w="273" w:type="pct"/>
            <w:vMerge w:val="restar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323" w:type="pct"/>
            <w:vMerge w:val="restar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Найменування товару (марка, тип, вид)</w:t>
            </w:r>
          </w:p>
        </w:tc>
        <w:tc>
          <w:tcPr>
            <w:tcW w:w="539" w:type="pct"/>
            <w:vMerge w:val="restar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774" w:type="pct"/>
            <w:vMerge w:val="restar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2090" w:type="pct"/>
            <w:gridSpan w:val="4"/>
          </w:tcPr>
          <w:p w:rsidR="001F3572" w:rsidRPr="001F3572" w:rsidRDefault="001F3572" w:rsidP="001F35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1F3572" w:rsidRPr="001F3572" w:rsidTr="006F5446">
        <w:trPr>
          <w:cantSplit/>
          <w:trHeight w:val="1338"/>
        </w:trPr>
        <w:tc>
          <w:tcPr>
            <w:tcW w:w="273" w:type="pct"/>
            <w:vMerge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3" w:type="pct"/>
            <w:vMerge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4" w:type="pct"/>
            <w:vMerge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6" w:type="pct"/>
            <w:textDirection w:val="btL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Віварій ХНМУ</w:t>
            </w:r>
          </w:p>
        </w:tc>
        <w:tc>
          <w:tcPr>
            <w:tcW w:w="526" w:type="pct"/>
            <w:textDirection w:val="btLr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НДІ ГП та ПЗ ХНМУ</w:t>
            </w:r>
          </w:p>
        </w:tc>
        <w:tc>
          <w:tcPr>
            <w:tcW w:w="521" w:type="pct"/>
            <w:textDirection w:val="btLr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518" w:type="pct"/>
            <w:textDirection w:val="btLr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1F3572" w:rsidRPr="001F3572" w:rsidTr="006F5446">
        <w:trPr>
          <w:cantSplit/>
          <w:trHeight w:val="626"/>
        </w:trPr>
        <w:tc>
          <w:tcPr>
            <w:tcW w:w="273" w:type="pc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0" w:name="_Hlk122605605"/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23" w:type="pct"/>
            <w:vAlign w:val="center"/>
          </w:tcPr>
          <w:p w:rsidR="001F3572" w:rsidRPr="001F3572" w:rsidRDefault="001F3572" w:rsidP="001F357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Горох сушений</w:t>
            </w:r>
          </w:p>
        </w:tc>
        <w:tc>
          <w:tcPr>
            <w:tcW w:w="539" w:type="pc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1F3572" w:rsidRPr="001F3572" w:rsidRDefault="001F3572" w:rsidP="001F35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1608</w:t>
            </w:r>
          </w:p>
        </w:tc>
        <w:tc>
          <w:tcPr>
            <w:tcW w:w="526" w:type="pc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1350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</w:tr>
      <w:tr w:rsidR="001F3572" w:rsidRPr="001F3572" w:rsidTr="006F5446">
        <w:trPr>
          <w:cantSplit/>
          <w:trHeight w:val="626"/>
        </w:trPr>
        <w:tc>
          <w:tcPr>
            <w:tcW w:w="273" w:type="pc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lastRenderedPageBreak/>
              <w:t>2</w:t>
            </w:r>
          </w:p>
        </w:tc>
        <w:tc>
          <w:tcPr>
            <w:tcW w:w="1323" w:type="pct"/>
            <w:vAlign w:val="center"/>
          </w:tcPr>
          <w:p w:rsidR="001F3572" w:rsidRPr="001F3572" w:rsidRDefault="001F3572" w:rsidP="001F357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Картопля</w:t>
            </w:r>
          </w:p>
        </w:tc>
        <w:tc>
          <w:tcPr>
            <w:tcW w:w="539" w:type="pc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1F3572" w:rsidRPr="001F3572" w:rsidRDefault="001F3572" w:rsidP="001F35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9430</w:t>
            </w:r>
          </w:p>
        </w:tc>
        <w:tc>
          <w:tcPr>
            <w:tcW w:w="526" w:type="pct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1030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5000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1F3572" w:rsidRPr="001F3572" w:rsidRDefault="001F3572" w:rsidP="001F357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F357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3400</w:t>
            </w:r>
          </w:p>
        </w:tc>
      </w:tr>
      <w:bookmarkEnd w:id="0"/>
    </w:tbl>
    <w:p w:rsidR="001F3572" w:rsidRPr="001F3572" w:rsidRDefault="001F3572" w:rsidP="001F3572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1F3572" w:rsidRPr="001F3572" w:rsidRDefault="001F3572" w:rsidP="001F3572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1F3572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1F3572" w:rsidRPr="001F3572" w:rsidRDefault="001F3572" w:rsidP="001F3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5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Картопля </w:t>
      </w:r>
      <w:r w:rsidRPr="001F35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uk-UA" w:bidi="uk-UA"/>
        </w:rPr>
        <w:t>Органолептичні показники</w:t>
      </w:r>
      <w:r w:rsidRPr="001F357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 w:bidi="uk-UA"/>
        </w:rPr>
        <w:t>.</w:t>
      </w:r>
      <w:r w:rsidRPr="001F35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гідно з діючим ГОСТ, ДСТУ, ТУ  України, пізня  округло-овальної форми не менше 65 мм з зовнішнім виглядом, типовим для даного сорту і ступеня стиглості, без ознак хвороб грибкового, бактеріального, вірусного походження, а також фізіологічних захворювань. Клубні, які  позеленіли більш ¼ поверхні не допускаються , роздавлені, пошкоджені шкідниками, хворобами не допускаються. </w:t>
      </w:r>
      <w:r w:rsidRPr="001F35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Здатна до реалізації і споживання, закладання на зберігання, довготривалого перевезення чи технічної переробки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1F3572" w:rsidRPr="001F3572" w:rsidRDefault="001F3572" w:rsidP="001F3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Товар повинен бути упакований у сітки.</w:t>
      </w:r>
    </w:p>
    <w:p w:rsidR="001F3572" w:rsidRPr="001F3572" w:rsidRDefault="001F3572" w:rsidP="001F3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Тара суха, чиста,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непошкодж</w:t>
      </w:r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3572" w:rsidRPr="001F3572" w:rsidRDefault="001F3572" w:rsidP="001F357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1F35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транспортних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1F35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правилами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перевезень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швидкопсувних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вантажів</w:t>
      </w:r>
      <w:proofErr w:type="spellEnd"/>
      <w:r w:rsidRPr="001F35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1F35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F35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zh-CN"/>
        </w:rPr>
        <w:t>Доставка товару здійснюється за адресою замовника на продовольчий склад</w:t>
      </w:r>
      <w:proofErr w:type="gramStart"/>
      <w:r w:rsidRPr="001F35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zh-CN"/>
        </w:rPr>
        <w:t xml:space="preserve"> .</w:t>
      </w:r>
      <w:proofErr w:type="gramEnd"/>
      <w:r w:rsidRPr="001F35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zh-CN"/>
        </w:rPr>
        <w:t xml:space="preserve"> </w:t>
      </w:r>
    </w:p>
    <w:p w:rsidR="001F3572" w:rsidRPr="001F3572" w:rsidRDefault="001F3572" w:rsidP="001F3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Товар повинен постачатися транспортом постачальника та за рахунок постачальника.</w:t>
      </w:r>
    </w:p>
    <w:p w:rsidR="001F3572" w:rsidRPr="001F3572" w:rsidRDefault="001F3572" w:rsidP="001F357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1F35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Постачання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35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товару</w:t>
      </w:r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заявки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Замовника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дефекти не допустимі. На кожній одиниці фасування повинна бути наступна інформація: назва харчового продукту, назва та адреса </w:t>
      </w:r>
      <w:proofErr w:type="gramStart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proofErr w:type="gramEnd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ідприємства - виробника, вага, нетто, склад, дата виготовлення, термін придатності та умови зберігання, дані про енергетичну цінність. 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Товар не повинен містити генетично модифіковані організми (ГМО), що обов’язково відображається на етикетці маркуванням «без ГМО». </w:t>
      </w:r>
      <w:r w:rsidRPr="001F35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zh-CN"/>
        </w:rPr>
        <w:t xml:space="preserve">Товар не повинен містити небезпечні для організму речовини, в т.ч. штучні барвники, консерванти, ароматизатори,  тощо. </w:t>
      </w:r>
      <w:r w:rsidRPr="001F35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Товари, що постачаються повинні мати необхідне реєстраційне посвідчення та висновок державної санітарно-епідеміологічної експертизи, або іншій подібний документ, що підтверджує відповідність товару вимогам, встановленим до нього загальнообов’язковими на території України нормами і правилами, повинен бути оформлений відповідно до вимог законодавства України (</w:t>
      </w:r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val="uk-UA" w:eastAsia="ru-RU"/>
        </w:rPr>
        <w:t xml:space="preserve"> Якщо урожай вже зібраний, то можна завантажити у складі пропозиції. </w:t>
      </w:r>
      <w:proofErr w:type="gram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Але в будь -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якому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випадку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він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має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бути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наданим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при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кожній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партії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поставки товару</w:t>
      </w:r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val="uk-UA" w:eastAsia="ru-RU"/>
        </w:rPr>
        <w:t>)</w:t>
      </w:r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.</w:t>
      </w:r>
      <w:proofErr w:type="gramEnd"/>
      <w:r w:rsidRPr="001F35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Додатково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учасник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,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який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є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виробником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може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надати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які</w:t>
      </w:r>
      <w:proofErr w:type="gram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сне</w:t>
      </w:r>
      <w:proofErr w:type="spellEnd"/>
      <w:proofErr w:type="gram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посвідчення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, яке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виготовлене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 xml:space="preserve"> ним </w:t>
      </w:r>
      <w:proofErr w:type="spellStart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самостійно</w:t>
      </w:r>
      <w:proofErr w:type="spellEnd"/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eastAsia="ru-RU"/>
        </w:rPr>
        <w:t>.</w:t>
      </w:r>
      <w:r w:rsidRPr="001F357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DFEFD"/>
          <w:lang w:val="uk-UA" w:eastAsia="ru-RU"/>
        </w:rPr>
        <w:t xml:space="preserve"> 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Строк придатності товару повинен бути не менш 70% від загального терміну придатності.</w:t>
      </w:r>
    </w:p>
    <w:p w:rsidR="001F3572" w:rsidRPr="001F3572" w:rsidRDefault="001F3572" w:rsidP="001F35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Поставка товару здійснюється партіями, що погоджуються сторонами в залежності від фактичної потреби замовника 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не пізніше 3-х календарних днів з моменту одержання письмової заявки від Замовника. 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Поставка здійснюється </w:t>
      </w:r>
      <w:r w:rsidRPr="001F3572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за адресою замовника 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 робочі дні та години.</w:t>
      </w:r>
    </w:p>
    <w:p w:rsidR="001F3572" w:rsidRPr="001F3572" w:rsidRDefault="001F3572" w:rsidP="001F3572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zh-CN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При поставці товару повинні надаватися супровідні документи. При прийомі товару, обсяг  товару має  відповідати обсягу, який зазначена у супровідних документах.  Приймання Товару за кількістю і якістю здійснюється представником замовника.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5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zh-CN"/>
        </w:rPr>
        <w:t>Постачальник разом з продукцією надає Замовнику рахунок, накладну на товар та всю супровідну документацію (сертифікат якості (відповідності) підприємства-виробника) згідно вимог діючого  законодавства.</w:t>
      </w:r>
    </w:p>
    <w:p w:rsidR="001F3572" w:rsidRPr="001F3572" w:rsidRDefault="001F3572" w:rsidP="001F3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Товар, представлений постачальником, має відповідати вітчизняним та міжнародним стандартам якості.</w:t>
      </w:r>
    </w:p>
    <w:p w:rsidR="001F3572" w:rsidRPr="001F3572" w:rsidRDefault="001F3572" w:rsidP="001F3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5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Горох колотий сушений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35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uk-UA" w:bidi="uk-UA"/>
        </w:rPr>
        <w:t xml:space="preserve">Органолептичні показники. 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Продукція, що поставляється має відповідати вимогам ГОСТ, ДСТУ, ТУ  України, не нижче 1-го ґатунку. Якісні характеристики предмету закупівлі, що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закуповується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повинні відповідати Закону України «Про основні принципи та вимоги до безпечності та якості харчових продуктів» від 23.12.1997 №771/97-ВР (зі змінами), стандартам, державним стандартам, передбаченим законодавством України.</w:t>
      </w:r>
    </w:p>
    <w:p w:rsidR="001F3572" w:rsidRPr="001F3572" w:rsidRDefault="001F3572" w:rsidP="001F35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Партія </w:t>
      </w:r>
      <w:r w:rsidRPr="001F357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гороху сушеного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 поставці супроводжується документами про якість, </w:t>
      </w: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(якісне посвідчення або декларація виробника) в яких вказані всі показники якості і відмітки про контроль вмісту токсичних елементів, </w:t>
      </w:r>
      <w:proofErr w:type="spellStart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мікотоксинів</w:t>
      </w:r>
      <w:proofErr w:type="spellEnd"/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радіонуклідів і пестицидів. </w:t>
      </w:r>
    </w:p>
    <w:p w:rsidR="001F3572" w:rsidRPr="001F3572" w:rsidRDefault="001F3572" w:rsidP="001F35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3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поставці товару строк придатності партії товару має бути не меншим, ніж 70%  від нормативного строку придатності відповідної продукції. Поставка повинна виконуватись автотранспортом Постачальника або автотранспортом компаній-перевізників за рахунок Постачальника, згідно з правилами перевезення продовольчих товарів, водій якого повинен мати санітарну книжку. Постачальник забезпечує таке пакування товару, яке необхідне для запобігання його пошкодженню або псуванню під час транспортування до кінцевого пункту призначення.</w:t>
      </w:r>
    </w:p>
    <w:p w:rsidR="001738C1" w:rsidRPr="004A77AF" w:rsidRDefault="001738C1" w:rsidP="001F357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bookmarkStart w:id="1" w:name="_GoBack"/>
      <w:bookmarkEnd w:id="1"/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3695D"/>
    <w:rsid w:val="001738C1"/>
    <w:rsid w:val="001F3572"/>
    <w:rsid w:val="00353DF5"/>
    <w:rsid w:val="004A77AF"/>
    <w:rsid w:val="007B75EF"/>
    <w:rsid w:val="008A42E5"/>
    <w:rsid w:val="00AF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6-006289-a-dk-021-2015-yedynyj-zakupivelnyj-slovnyk-03210000-6-zernovi-kultury-ta#:~:text=UA%2D2024%2D02%2D26%2D006289%2D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1109</Words>
  <Characters>6325</Characters>
  <Application>Microsoft Office Word</Application>
  <DocSecurity>0</DocSecurity>
  <Lines>52</Lines>
  <Paragraphs>14</Paragraphs>
  <ScaleCrop>false</ScaleCrop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7</cp:revision>
  <dcterms:created xsi:type="dcterms:W3CDTF">2024-02-26T11:43:00Z</dcterms:created>
  <dcterms:modified xsi:type="dcterms:W3CDTF">2024-02-26T12:40:00Z</dcterms:modified>
</cp:coreProperties>
</file>