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AF" w:rsidRPr="004A77AF" w:rsidRDefault="004A77AF" w:rsidP="004A77AF">
      <w:pPr>
        <w:spacing w:after="0" w:line="284" w:lineRule="auto"/>
        <w:ind w:left="5" w:right="16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Обґрунтування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77A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4A77AF">
        <w:rPr>
          <w:rFonts w:ascii="Times New Roman" w:hAnsi="Times New Roman" w:cs="Times New Roman"/>
          <w:sz w:val="24"/>
          <w:szCs w:val="24"/>
        </w:rPr>
        <w:t>ічних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якісних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характеристик предмета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розміру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бюджетного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признач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Обґрунтування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технічних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якісних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характеристик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предмета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розміру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бюджетного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призначення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очікуваної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вартості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предмета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(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відповідно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до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пункту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4</w:t>
      </w:r>
      <w:r w:rsidRPr="004A77AF">
        <w:rPr>
          <w:rFonts w:ascii="Times New Roman" w:eastAsia="Times New Roman" w:hAnsi="Times New Roman" w:cs="Times New Roman"/>
          <w:color w:val="000000"/>
          <w:sz w:val="24"/>
          <w:vertAlign w:val="superscript"/>
          <w:lang w:val="en-US"/>
        </w:rPr>
        <w:t xml:space="preserve">1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постанови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КМУ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від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11.10.2016 № 710 «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Про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ефективне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використання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державних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коштів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»  </w:t>
      </w:r>
    </w:p>
    <w:p w:rsidR="004A77AF" w:rsidRPr="004A77AF" w:rsidRDefault="004A77AF" w:rsidP="004A77AF">
      <w:pPr>
        <w:spacing w:after="156" w:line="259" w:lineRule="auto"/>
        <w:ind w:left="58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1.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Найменування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місцезнаходження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ідентифікаційний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код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замовника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в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Єдиному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державному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реєстрі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юридичних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осіб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фізичних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осіб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—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підприємців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громадських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формувань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його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категорія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: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національний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медичний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університет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61022, м. Харків, пр. Науки, 4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ЄДРПОУ-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01896866,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Юридична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особи,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забезпечують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77AF" w:rsidRPr="004A77AF" w:rsidRDefault="004A77AF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2.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Назва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із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зазначенням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коду за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Єдиним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закупівельним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словником (у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разі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поділу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на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лоти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такі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відомості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повинні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зазначатися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стосовно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кожного лота) 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назви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відповідних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класифікаторів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і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частин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(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лотів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) (за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наявності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):</w:t>
      </w:r>
      <w:r w:rsidRPr="004A77A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 xml:space="preserve">ДК 021:2015 </w:t>
      </w:r>
      <w:proofErr w:type="spellStart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>Єдиний</w:t>
      </w:r>
      <w:proofErr w:type="spellEnd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>закупівельний</w:t>
      </w:r>
      <w:proofErr w:type="spellEnd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 xml:space="preserve"> словник: 03140000-4 </w:t>
      </w:r>
      <w:proofErr w:type="spellStart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>Продукція</w:t>
      </w:r>
      <w:proofErr w:type="spellEnd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>тваринництва</w:t>
      </w:r>
      <w:proofErr w:type="spellEnd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 xml:space="preserve"> та </w:t>
      </w:r>
      <w:proofErr w:type="spellStart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>супутня</w:t>
      </w:r>
      <w:proofErr w:type="spellEnd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>продукція</w:t>
      </w:r>
      <w:proofErr w:type="spellEnd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 xml:space="preserve"> (</w:t>
      </w:r>
      <w:proofErr w:type="spellStart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>Яйця</w:t>
      </w:r>
      <w:proofErr w:type="spellEnd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>курячі</w:t>
      </w:r>
      <w:proofErr w:type="spellEnd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>столові</w:t>
      </w:r>
      <w:proofErr w:type="spellEnd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 xml:space="preserve"> С1, Мед </w:t>
      </w:r>
      <w:proofErr w:type="spellStart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>натуральний</w:t>
      </w:r>
      <w:proofErr w:type="spellEnd"/>
      <w:r w:rsidR="001738C1" w:rsidRPr="001738C1">
        <w:rPr>
          <w:rFonts w:ascii="Times New Roman" w:eastAsia="Times New Roman" w:hAnsi="Times New Roman" w:cs="Times New Roman"/>
          <w:color w:val="000000"/>
          <w:sz w:val="24"/>
        </w:rPr>
        <w:t>)</w:t>
      </w:r>
    </w:p>
    <w:p w:rsidR="004A77AF" w:rsidRPr="004A77AF" w:rsidRDefault="004A77AF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uk-UA"/>
        </w:rPr>
        <w:t xml:space="preserve">3.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Ідентифікатор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  <w:r w:rsidRPr="004A77A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hyperlink r:id="rId6" w:history="1">
        <w:r w:rsidRPr="00B62EE4">
          <w:rPr>
            <w:rStyle w:val="a3"/>
            <w:rFonts w:ascii="Times New Roman" w:eastAsia="Times New Roman" w:hAnsi="Times New Roman" w:cs="Times New Roman"/>
            <w:sz w:val="24"/>
          </w:rPr>
          <w:t>https://gov.e-tender.ua/tender/produkti-harchuvannya/UA-2024-02-21-007628-a-dk-021-2015-yedynyj-zakupivelnyj-slovnyk-03140000-4-produkcziya-tvarynnycztva-ta#:</w:t>
        </w:r>
      </w:hyperlink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</w:t>
      </w:r>
    </w:p>
    <w:p w:rsidR="004A77AF" w:rsidRPr="004A77AF" w:rsidRDefault="004A77AF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hyperlink r:id="rId7" w:history="1"/>
      <w:hyperlink r:id="rId8" w:history="1"/>
      <w:hyperlink r:id="rId9" w:history="1"/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Очікувана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вартість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ab/>
        <w:t>364 434,00</w:t>
      </w: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грн. , з ПДВ. </w:t>
      </w:r>
      <w:bookmarkStart w:id="0" w:name="_GoBack"/>
      <w:bookmarkEnd w:id="0"/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Обґрунтування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розміру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бюджетного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призначення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 межах видатків, передбачених на 2024 </w:t>
      </w:r>
      <w:proofErr w:type="gram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</w:t>
      </w:r>
      <w:proofErr w:type="gram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ік по КЕКВ «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2230 - Продукти харчування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»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4A77AF" w:rsidRDefault="004A77AF" w:rsidP="004A77AF">
      <w:pPr>
        <w:spacing w:after="14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uk-UA"/>
        </w:rPr>
        <w:t xml:space="preserve">5. Обґрунтування очікуваної вартості предмета закупівлі: </w:t>
      </w:r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Розрахунок очікуваної вартості проводився згідно аналізу інформації з веб-сайтів виробників і постачальників предмету закупівлі. Також при визначені очікуваної вартості закупівлі враховувалась інформація, що міститься в мережі Інтернет у відкритому доступі, у тому числі в електронній системі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>Prozorro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,  станом на дату формування очікуваної вартості предмета закупівлі. </w:t>
      </w:r>
    </w:p>
    <w:p w:rsidR="001738C1" w:rsidRPr="001738C1" w:rsidRDefault="001738C1" w:rsidP="001738C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738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Замовник самостійно визначає необхідні технічні характеристики предмета закупівлі з огляду на специфіку предмета закупівлі, керуючись принципами здійснення закупівель, та з дотриманням законодавства.</w:t>
      </w:r>
    </w:p>
    <w:p w:rsidR="001738C1" w:rsidRPr="001738C1" w:rsidRDefault="001738C1" w:rsidP="001738C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</w:pPr>
      <w:r w:rsidRPr="001738C1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  <w:t xml:space="preserve">Обґрунтування необхідності закупівлі даного виду товару — замовник здійснює закупівлю даного виду товару, оскільки вони за своїми якісними та технічними характеристиками найбільше відповідають потребам та вимогам замовника. </w:t>
      </w:r>
    </w:p>
    <w:p w:rsidR="001738C1" w:rsidRPr="001738C1" w:rsidRDefault="001738C1" w:rsidP="001738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709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"/>
        <w:gridCol w:w="2759"/>
        <w:gridCol w:w="1124"/>
        <w:gridCol w:w="1614"/>
        <w:gridCol w:w="1097"/>
        <w:gridCol w:w="1086"/>
        <w:gridCol w:w="1083"/>
      </w:tblGrid>
      <w:tr w:rsidR="001738C1" w:rsidRPr="001738C1" w:rsidTr="00E8732C">
        <w:trPr>
          <w:trHeight w:val="437"/>
        </w:trPr>
        <w:tc>
          <w:tcPr>
            <w:tcW w:w="305" w:type="pct"/>
            <w:vMerge w:val="restart"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№ п/</w:t>
            </w:r>
            <w:proofErr w:type="spellStart"/>
            <w:r w:rsidRPr="001738C1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End"/>
          </w:p>
        </w:tc>
        <w:tc>
          <w:tcPr>
            <w:tcW w:w="1478" w:type="pct"/>
            <w:vMerge w:val="restart"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Найменування товару (марка, тип, вид)</w:t>
            </w:r>
          </w:p>
        </w:tc>
        <w:tc>
          <w:tcPr>
            <w:tcW w:w="602" w:type="pct"/>
            <w:vMerge w:val="restart"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Од. виміру</w:t>
            </w:r>
          </w:p>
        </w:tc>
        <w:tc>
          <w:tcPr>
            <w:tcW w:w="865" w:type="pct"/>
            <w:vMerge w:val="restart"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uk-UA" w:eastAsia="ru-RU"/>
              </w:rPr>
              <w:t>Загальна очікувана кількість</w:t>
            </w:r>
          </w:p>
        </w:tc>
        <w:tc>
          <w:tcPr>
            <w:tcW w:w="1750" w:type="pct"/>
            <w:gridSpan w:val="3"/>
            <w:shd w:val="clear" w:color="auto" w:fill="auto"/>
            <w:vAlign w:val="center"/>
          </w:tcPr>
          <w:p w:rsidR="001738C1" w:rsidRPr="001738C1" w:rsidRDefault="001738C1" w:rsidP="001738C1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Arial" w:hAnsi="Times New Roman" w:cs="Times New Roman"/>
                <w:b/>
                <w:sz w:val="24"/>
                <w:szCs w:val="24"/>
                <w:lang w:val="uk-UA" w:eastAsia="ru-RU"/>
              </w:rPr>
              <w:t>В т.ч.</w:t>
            </w:r>
          </w:p>
        </w:tc>
      </w:tr>
      <w:tr w:rsidR="001738C1" w:rsidRPr="001738C1" w:rsidTr="00E8732C">
        <w:trPr>
          <w:cantSplit/>
          <w:trHeight w:val="1338"/>
        </w:trPr>
        <w:tc>
          <w:tcPr>
            <w:tcW w:w="305" w:type="pct"/>
            <w:vMerge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78" w:type="pct"/>
            <w:vMerge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02" w:type="pct"/>
            <w:vMerge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65" w:type="pct"/>
            <w:vMerge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8" w:type="pct"/>
            <w:textDirection w:val="btLr"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НДІ ГП та ПЗ ХНМУ</w:t>
            </w:r>
          </w:p>
        </w:tc>
        <w:tc>
          <w:tcPr>
            <w:tcW w:w="582" w:type="pct"/>
            <w:textDirection w:val="btLr"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Їдальня ХНМУ</w:t>
            </w:r>
          </w:p>
        </w:tc>
        <w:tc>
          <w:tcPr>
            <w:tcW w:w="580" w:type="pct"/>
            <w:textDirection w:val="btLr"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ННМЦ «УК» ХНМУ</w:t>
            </w:r>
          </w:p>
        </w:tc>
      </w:tr>
      <w:tr w:rsidR="001738C1" w:rsidRPr="001738C1" w:rsidTr="00E8732C">
        <w:trPr>
          <w:cantSplit/>
          <w:trHeight w:val="626"/>
        </w:trPr>
        <w:tc>
          <w:tcPr>
            <w:tcW w:w="305" w:type="pct"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1" w:name="_Hlk122605605"/>
            <w:r w:rsidRPr="001738C1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478" w:type="pct"/>
          </w:tcPr>
          <w:p w:rsidR="001738C1" w:rsidRPr="001738C1" w:rsidRDefault="001738C1" w:rsidP="001738C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Яйця курячі, столові С1</w:t>
            </w:r>
          </w:p>
        </w:tc>
        <w:tc>
          <w:tcPr>
            <w:tcW w:w="602" w:type="pct"/>
            <w:vAlign w:val="center"/>
          </w:tcPr>
          <w:p w:rsidR="001738C1" w:rsidRPr="001738C1" w:rsidRDefault="001738C1" w:rsidP="001738C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1738C1" w:rsidRPr="001738C1" w:rsidRDefault="001738C1" w:rsidP="001738C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50600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14000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21600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15000</w:t>
            </w:r>
          </w:p>
        </w:tc>
      </w:tr>
      <w:tr w:rsidR="001738C1" w:rsidRPr="001738C1" w:rsidTr="00E8732C">
        <w:trPr>
          <w:cantSplit/>
          <w:trHeight w:val="626"/>
        </w:trPr>
        <w:tc>
          <w:tcPr>
            <w:tcW w:w="305" w:type="pct"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lastRenderedPageBreak/>
              <w:t>2.</w:t>
            </w:r>
          </w:p>
        </w:tc>
        <w:tc>
          <w:tcPr>
            <w:tcW w:w="1478" w:type="pct"/>
          </w:tcPr>
          <w:p w:rsidR="001738C1" w:rsidRPr="001738C1" w:rsidRDefault="001738C1" w:rsidP="001738C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738C1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Мед</w:t>
            </w:r>
            <w:r w:rsidRPr="001738C1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38C1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натуральний</w:t>
            </w:r>
            <w:proofErr w:type="spellEnd"/>
          </w:p>
        </w:tc>
        <w:tc>
          <w:tcPr>
            <w:tcW w:w="602" w:type="pct"/>
            <w:vAlign w:val="center"/>
          </w:tcPr>
          <w:p w:rsidR="001738C1" w:rsidRPr="001738C1" w:rsidRDefault="001738C1" w:rsidP="001738C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1738C1" w:rsidRPr="001738C1" w:rsidRDefault="001738C1" w:rsidP="001738C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1738C1" w:rsidRPr="001738C1" w:rsidRDefault="001738C1" w:rsidP="001738C1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1738C1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bookmarkEnd w:id="1"/>
    <w:p w:rsidR="001738C1" w:rsidRPr="001738C1" w:rsidRDefault="001738C1" w:rsidP="001738C1">
      <w:pPr>
        <w:widowControl w:val="0"/>
        <w:tabs>
          <w:tab w:val="left" w:pos="1140"/>
          <w:tab w:val="left" w:pos="3615"/>
          <w:tab w:val="center" w:pos="4677"/>
        </w:tabs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</w:pPr>
      <w:r w:rsidRPr="001738C1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ab/>
      </w:r>
      <w:r w:rsidRPr="001738C1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ab/>
      </w:r>
    </w:p>
    <w:p w:rsidR="001738C1" w:rsidRPr="001738C1" w:rsidRDefault="001738C1" w:rsidP="001738C1">
      <w:pPr>
        <w:widowControl w:val="0"/>
        <w:tabs>
          <w:tab w:val="left" w:pos="1140"/>
          <w:tab w:val="left" w:pos="3615"/>
          <w:tab w:val="center" w:pos="4677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</w:pPr>
      <w:r w:rsidRPr="001738C1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>Технічні вимоги</w:t>
      </w:r>
    </w:p>
    <w:p w:rsidR="001738C1" w:rsidRPr="001738C1" w:rsidRDefault="001738C1" w:rsidP="001738C1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8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Шкарлупа яйця повинна бути чистою, непошкоджена, цільною та міцною. </w:t>
      </w:r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ній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не повинно бути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плям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крові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або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посл</w:t>
      </w:r>
      <w:proofErr w:type="gram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іду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Дозволено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поодинокі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цятки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плями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або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смуги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від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транспортерної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стр</w:t>
      </w:r>
      <w:proofErr w:type="gram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ічки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площею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більше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ніж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1/8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поверхні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Запах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вмісту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яйця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природний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без затхлого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чи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гнилісного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запаху.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Маса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одного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яйця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>повинна</w:t>
      </w:r>
      <w:proofErr w:type="gramEnd"/>
      <w:r w:rsidRPr="001738C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бути - </w:t>
      </w:r>
      <w:r w:rsidRPr="00173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53 - 62,9 гр. </w:t>
      </w:r>
      <w:proofErr w:type="spellStart"/>
      <w:r w:rsidRPr="001738C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Маса</w:t>
      </w:r>
      <w:proofErr w:type="spellEnd"/>
      <w:r w:rsidRPr="00173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десятка </w:t>
      </w:r>
      <w:proofErr w:type="spellStart"/>
      <w:r w:rsidRPr="001738C1">
        <w:rPr>
          <w:rFonts w:ascii="Times New Roman" w:eastAsia="Times New Roman" w:hAnsi="Times New Roman" w:cs="Times New Roman"/>
          <w:sz w:val="24"/>
          <w:szCs w:val="24"/>
          <w:lang w:eastAsia="ru-RU"/>
        </w:rPr>
        <w:t>яєць</w:t>
      </w:r>
      <w:proofErr w:type="spellEnd"/>
      <w:r w:rsidRPr="00173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повинна бути не </w:t>
      </w:r>
      <w:proofErr w:type="spellStart"/>
      <w:r w:rsidRPr="001738C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</w:t>
      </w:r>
      <w:proofErr w:type="spellEnd"/>
      <w:r w:rsidRPr="00173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38C1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</w:t>
      </w:r>
      <w:proofErr w:type="spellEnd"/>
      <w:r w:rsidRPr="00173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540 гр.</w:t>
      </w:r>
    </w:p>
    <w:p w:rsidR="001738C1" w:rsidRPr="001738C1" w:rsidRDefault="001738C1" w:rsidP="001738C1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 </w:t>
      </w:r>
      <w:proofErr w:type="spellStart"/>
      <w:r w:rsidRPr="001738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натуральний</w:t>
      </w:r>
      <w:proofErr w:type="spellEnd"/>
      <w:r w:rsidRPr="00173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повинен: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1"/>
        <w:gridCol w:w="5920"/>
      </w:tblGrid>
      <w:tr w:rsidR="001738C1" w:rsidRPr="001738C1" w:rsidTr="00E8732C">
        <w:tc>
          <w:tcPr>
            <w:tcW w:w="3794" w:type="dxa"/>
            <w:shd w:val="clear" w:color="auto" w:fill="auto"/>
          </w:tcPr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показника</w:t>
            </w:r>
            <w:proofErr w:type="spellEnd"/>
          </w:p>
        </w:tc>
        <w:tc>
          <w:tcPr>
            <w:tcW w:w="6202" w:type="dxa"/>
            <w:shd w:val="clear" w:color="auto" w:fill="auto"/>
          </w:tcPr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1738C1" w:rsidRPr="001738C1" w:rsidTr="00E8732C">
        <w:tc>
          <w:tcPr>
            <w:tcW w:w="3794" w:type="dxa"/>
            <w:shd w:val="clear" w:color="auto" w:fill="auto"/>
          </w:tcPr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Колі</w:t>
            </w:r>
            <w:proofErr w:type="gramStart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2" w:type="dxa"/>
            <w:shd w:val="clear" w:color="auto" w:fill="auto"/>
          </w:tcPr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38C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Безкольорний</w:t>
            </w:r>
            <w:proofErr w:type="spellEnd"/>
            <w:r w:rsidRPr="001738C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, білий, світло-жовтий, жовтий, </w:t>
            </w:r>
            <w:proofErr w:type="spellStart"/>
            <w:r w:rsidRPr="001738C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темно-</w:t>
            </w:r>
            <w:proofErr w:type="spellEnd"/>
            <w:r w:rsidRPr="001738C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жовтий, темний з різними відтінками</w:t>
            </w:r>
          </w:p>
        </w:tc>
      </w:tr>
      <w:tr w:rsidR="001738C1" w:rsidRPr="001738C1" w:rsidTr="00E8732C">
        <w:tc>
          <w:tcPr>
            <w:tcW w:w="3794" w:type="dxa"/>
            <w:shd w:val="clear" w:color="auto" w:fill="auto"/>
          </w:tcPr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Смак</w:t>
            </w:r>
          </w:p>
        </w:tc>
        <w:tc>
          <w:tcPr>
            <w:tcW w:w="6202" w:type="dxa"/>
            <w:shd w:val="clear" w:color="auto" w:fill="auto"/>
          </w:tcPr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8C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Солодкий, ніжний, приємний, терпкий, подразнює слизову оболонку ротової порожнини, без сторонніх </w:t>
            </w:r>
            <w:proofErr w:type="spellStart"/>
            <w:r w:rsidRPr="001738C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присмаків</w:t>
            </w:r>
            <w:proofErr w:type="spellEnd"/>
          </w:p>
        </w:tc>
      </w:tr>
      <w:tr w:rsidR="001738C1" w:rsidRPr="001738C1" w:rsidTr="00E8732C">
        <w:tc>
          <w:tcPr>
            <w:tcW w:w="3794" w:type="dxa"/>
            <w:shd w:val="clear" w:color="auto" w:fill="auto"/>
          </w:tcPr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Аромат </w:t>
            </w:r>
          </w:p>
        </w:tc>
        <w:tc>
          <w:tcPr>
            <w:tcW w:w="6202" w:type="dxa"/>
            <w:shd w:val="clear" w:color="auto" w:fill="auto"/>
          </w:tcPr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8C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Специфічний, приємний, слабкий, сильний, ніжний, без сторонніх запахів</w:t>
            </w:r>
          </w:p>
        </w:tc>
      </w:tr>
      <w:tr w:rsidR="001738C1" w:rsidRPr="001738C1" w:rsidTr="00E8732C">
        <w:tc>
          <w:tcPr>
            <w:tcW w:w="3794" w:type="dxa"/>
            <w:shd w:val="clear" w:color="auto" w:fill="auto"/>
          </w:tcPr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Консистенція</w:t>
            </w:r>
            <w:proofErr w:type="spellEnd"/>
          </w:p>
        </w:tc>
        <w:tc>
          <w:tcPr>
            <w:tcW w:w="6202" w:type="dxa"/>
            <w:shd w:val="clear" w:color="auto" w:fill="auto"/>
          </w:tcPr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8C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Рідка, в’язка, дуже в'язка, щільна</w:t>
            </w:r>
          </w:p>
        </w:tc>
      </w:tr>
      <w:tr w:rsidR="001738C1" w:rsidRPr="001738C1" w:rsidTr="00E8732C">
        <w:tc>
          <w:tcPr>
            <w:tcW w:w="3794" w:type="dxa"/>
            <w:shd w:val="clear" w:color="auto" w:fill="auto"/>
          </w:tcPr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Кристалізація</w:t>
            </w:r>
            <w:proofErr w:type="spellEnd"/>
          </w:p>
        </w:tc>
        <w:tc>
          <w:tcPr>
            <w:tcW w:w="6202" w:type="dxa"/>
            <w:shd w:val="clear" w:color="auto" w:fill="auto"/>
          </w:tcPr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8C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Від дрібнозернистої до крупнозернистої</w:t>
            </w:r>
          </w:p>
        </w:tc>
      </w:tr>
      <w:tr w:rsidR="001738C1" w:rsidRPr="001738C1" w:rsidTr="00E8732C">
        <w:tc>
          <w:tcPr>
            <w:tcW w:w="3794" w:type="dxa"/>
            <w:shd w:val="clear" w:color="auto" w:fill="auto"/>
          </w:tcPr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Ознаки</w:t>
            </w:r>
            <w:proofErr w:type="spellEnd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бродіння</w:t>
            </w:r>
            <w:proofErr w:type="spellEnd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закисання</w:t>
            </w:r>
            <w:proofErr w:type="spellEnd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02" w:type="dxa"/>
            <w:shd w:val="clear" w:color="auto" w:fill="auto"/>
          </w:tcPr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дозволено</w:t>
            </w:r>
          </w:p>
        </w:tc>
      </w:tr>
      <w:tr w:rsidR="001738C1" w:rsidRPr="001738C1" w:rsidTr="00E8732C">
        <w:tc>
          <w:tcPr>
            <w:tcW w:w="3794" w:type="dxa"/>
            <w:shd w:val="clear" w:color="auto" w:fill="auto"/>
          </w:tcPr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Механічні</w:t>
            </w:r>
            <w:proofErr w:type="spellEnd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домішки</w:t>
            </w:r>
            <w:proofErr w:type="spellEnd"/>
          </w:p>
        </w:tc>
        <w:tc>
          <w:tcPr>
            <w:tcW w:w="6202" w:type="dxa"/>
            <w:shd w:val="clear" w:color="auto" w:fill="auto"/>
          </w:tcPr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дозволено</w:t>
            </w:r>
          </w:p>
        </w:tc>
      </w:tr>
      <w:tr w:rsidR="001738C1" w:rsidRPr="001738C1" w:rsidTr="00E8732C">
        <w:tc>
          <w:tcPr>
            <w:tcW w:w="9996" w:type="dxa"/>
            <w:gridSpan w:val="2"/>
            <w:shd w:val="clear" w:color="auto" w:fill="auto"/>
          </w:tcPr>
          <w:p w:rsidR="001738C1" w:rsidRPr="001738C1" w:rsidRDefault="001738C1" w:rsidP="001738C1">
            <w:pPr>
              <w:widowControl w:val="0"/>
              <w:spacing w:after="0" w:line="240" w:lineRule="auto"/>
              <w:ind w:firstLine="6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8C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Примітка 1. Для меду з каштану, тютюну дозволено гіркуватий присмак. У квітковому меді з домішками паді дозволено гіркуватий або кислуватий присмак.</w:t>
            </w:r>
          </w:p>
          <w:p w:rsidR="001738C1" w:rsidRPr="001738C1" w:rsidRDefault="001738C1" w:rsidP="001738C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8C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Примітка 2. Де механічних домішок належать видимі природні небажані домішки (</w:t>
            </w:r>
            <w:proofErr w:type="spellStart"/>
            <w:r w:rsidRPr="001738C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мертаі</w:t>
            </w:r>
            <w:proofErr w:type="spellEnd"/>
            <w:r w:rsidRPr="001738C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бджоли та їх частки, личинки бджіл, шматочки стільників) та видимі сторонні (зола, пил, пісок, солома, волосся, рослинні волокна тощо)</w:t>
            </w:r>
            <w:proofErr w:type="spellStart"/>
            <w:r w:rsidRPr="001738C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.За</w:t>
            </w:r>
            <w:proofErr w:type="spellEnd"/>
            <w:r w:rsidRPr="001738C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наявності в моді природних небажаних домішок, продукт не реалізують, його треба очистити. У разі забруднення сторонніми домішками мед бракують.</w:t>
            </w:r>
          </w:p>
        </w:tc>
      </w:tr>
    </w:tbl>
    <w:p w:rsidR="001738C1" w:rsidRPr="001738C1" w:rsidRDefault="001738C1" w:rsidP="001738C1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1738C1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Постачальник гарантує якість товару, згідно </w:t>
      </w:r>
      <w:proofErr w:type="spellStart"/>
      <w:r w:rsidRPr="001738C1">
        <w:rPr>
          <w:rFonts w:ascii="Times New Roman" w:eastAsia="Arial" w:hAnsi="Times New Roman" w:cs="Times New Roman"/>
          <w:sz w:val="24"/>
          <w:szCs w:val="24"/>
          <w:lang w:val="uk-UA" w:eastAsia="ru-RU"/>
        </w:rPr>
        <w:t>медико-технічних</w:t>
      </w:r>
      <w:proofErr w:type="spellEnd"/>
      <w:r w:rsidRPr="001738C1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вимог, яка повинна відповідати найвищому рівню технологій і стандартів, існуючих в країні виробника на аналогічний товар та підтверджує її відповідними документами (якісне посвідчення, сертифікати, висновки, тощо).</w:t>
      </w:r>
    </w:p>
    <w:p w:rsidR="001738C1" w:rsidRPr="004A77AF" w:rsidRDefault="001738C1" w:rsidP="004A77AF">
      <w:pPr>
        <w:spacing w:after="14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sectPr w:rsidR="001738C1" w:rsidRPr="004A7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D5E79"/>
    <w:multiLevelType w:val="hybridMultilevel"/>
    <w:tmpl w:val="413AD5A2"/>
    <w:lvl w:ilvl="0" w:tplc="322875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F5"/>
    <w:rsid w:val="001738C1"/>
    <w:rsid w:val="00353DF5"/>
    <w:rsid w:val="004A77AF"/>
    <w:rsid w:val="008A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6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v.e-tender.ua/tender/medicina/UA-2023-12-28-010907-a-dk-021-2015-yedynyj-zakupivelnyj-slovnyk-33140000-3-medychni-materialy-humov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ov.e-tender.ua/tender/medicina/UA-2024-01-15-014817-a-dk-021-2015-yedynyj-zakupivelnyj-slovnyk-33600000-6-farmacevtychna-produkcz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v.e-tender.ua/tender/produkti-harchuvannya/UA-2024-02-21-007628-a-dk-021-2015-yedynyj-zakupivelnyj-slovnyk-03140000-4-produkcziya-tvarynnycztva-ta#:~:text=UA%2D2024%2D02%2D21%2D007628%2D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v.e-tender.ua/tender/himichna-produkciya/UA-2023-12-26-008644-a-dk-021-2015-yedynyj-zakupivelnyj-slovnyk-24450000-3-ahroximichna-produkcz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746</Words>
  <Characters>4255</Characters>
  <Application>Microsoft Office Word</Application>
  <DocSecurity>0</DocSecurity>
  <Lines>35</Lines>
  <Paragraphs>9</Paragraphs>
  <ScaleCrop>false</ScaleCrop>
  <Company/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3</cp:revision>
  <dcterms:created xsi:type="dcterms:W3CDTF">2024-02-26T11:43:00Z</dcterms:created>
  <dcterms:modified xsi:type="dcterms:W3CDTF">2024-02-26T11:51:00Z</dcterms:modified>
</cp:coreProperties>
</file>