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Факультет: </w:t>
      </w:r>
      <w:r w:rsidRPr="001D3111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факультет з підготовки іноземних студентів ННІПІГ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Кафедра внутрішньої медицини № 3 та ендокринології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Галузь знань «22» Охорона здоров’я</w:t>
      </w:r>
    </w:p>
    <w:p w:rsid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Спеціальність «224»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Технології медичної діагностики та лікування</w:t>
      </w:r>
    </w:p>
    <w:p w:rsidR="00FB4A49" w:rsidRPr="00FB4A49" w:rsidRDefault="00FB4A49" w:rsidP="00FB4A4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Освітньо-професійна програма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ершого (бакалаврського) рівня 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вищої освіти</w:t>
      </w:r>
    </w:p>
    <w:p w:rsidR="00FB4A49" w:rsidRPr="001D3111" w:rsidRDefault="00FB4A49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СИЛАБУС НАВЧАЛЬНОЇ ДИСЦИПЛІНИ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«Ендокринологія</w:t>
      </w:r>
      <w:r w:rsidRPr="001D311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з оцінкою результатів досліджень»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proofErr w:type="spellStart"/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Силабус</w:t>
      </w:r>
      <w:proofErr w:type="spellEnd"/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затверджено на засіданні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кафедри внутрішньої медицини №3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та ендокринології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Протокол № 13 від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“28” серпня 201</w:t>
      </w:r>
      <w:r w:rsidR="004427C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8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року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________________проф.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Журавльова Л.В.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</w:t>
      </w: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затверджено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методичною комісією ХНМУ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з проблем  професійної підготовки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терапевтичного профілю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Протокол №_1_від. «__30_»_серпня_201</w:t>
      </w:r>
      <w:r w:rsidR="004427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Голова 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   </w:t>
      </w: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___________________пр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оф. </w:t>
      </w: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Кравчун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П.Г.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 – 20</w:t>
      </w:r>
      <w:r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4427C6">
        <w:rPr>
          <w:rFonts w:ascii="Times New Roman" w:eastAsia="Calibri" w:hAnsi="Times New Roman" w:cs="Times New Roman"/>
          <w:sz w:val="28"/>
          <w:szCs w:val="28"/>
          <w:lang w:eastAsia="uk-UA"/>
        </w:rPr>
        <w:t>8</w:t>
      </w:r>
      <w:bookmarkStart w:id="0" w:name="_GoBack"/>
      <w:bookmarkEnd w:id="0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НАЗВА НАВЧАЛЬНОЇ ДИСЦИПЛІНИ: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Внутрішня медицина з оцінкою результатів досліджень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Упорядники </w:t>
      </w:r>
      <w:proofErr w:type="spellStart"/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силабусу</w:t>
      </w:r>
      <w:proofErr w:type="spellEnd"/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</w:t>
      </w:r>
    </w:p>
    <w:p w:rsidR="001D3111" w:rsidRPr="001D3111" w:rsidRDefault="001D3111" w:rsidP="001D31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Журавльова Лариса Володимирівна – завідувач кафедри внутрішньої медицини №3 та ендокринології, доктор медичних наук, професор (тел. 0504002195,</w:t>
      </w: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 xml:space="preserve"> </w:t>
      </w:r>
      <w:hyperlink r:id="rId6" w:history="1"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prof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zhuravlyova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@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gmail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com</w:t>
        </w:r>
      </w:hyperlink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</w:t>
      </w: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1D3111" w:rsidRPr="001D3111" w:rsidRDefault="001D3111" w:rsidP="001D31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Кривоносова</w:t>
      </w:r>
      <w:proofErr w:type="spellEnd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Олена Михайлівна – доцент кафедри внутрішньої медицини №3 та ендокринології, кандидат медичних наук (тел. 0506883598, </w:t>
      </w:r>
      <w:proofErr w:type="spellStart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elenaendomed</w:t>
      </w:r>
      <w:proofErr w:type="spellEnd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27@</w:t>
      </w:r>
      <w:proofErr w:type="spellStart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gmail</w:t>
      </w:r>
      <w:proofErr w:type="spellEnd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.</w:t>
      </w: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com</w:t>
      </w: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Сайт кафедри: http://vnmed3.kharkiv.ua/.</w:t>
      </w:r>
    </w:p>
    <w:p w:rsidR="001D3111" w:rsidRPr="001D3111" w:rsidRDefault="001D3111" w:rsidP="001D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 проведення занять: 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понеділок – п’ятниц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 (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13.20. – 17.10.) – друга зміна, у відповідності до розкладу).</w:t>
      </w:r>
      <w:r w:rsidRPr="001D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3111" w:rsidRPr="001D3111" w:rsidRDefault="001D3111" w:rsidP="001D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Локація: учбові кімнати кафедри внутрішньої медицини №3 та ендокринології на базі КНП ХОР «Обласна клінічна лікарня» (м. Харків, пр. Незалежності 13).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Інформація про дисципліну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Опис дисципліни.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Третій курс.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Третій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рік навчання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семестр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Обсяг дисципліни: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Кількість кредитів  –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Загальна кількість годин –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9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0.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Годин для навчання: аудиторних –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46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самостійної роботи студента –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44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Лекції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 1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 годин.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Практичні заняття 28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годин.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Самостійна робота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44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годин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 контролю: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диф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залік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1" w:name="_Hlk49686437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хар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актеристика дисципліни: курс з «Ендокринології з оцінкою результатів досліджень»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призначений для студентів 3 курсу. Протягом курсу проводяться практичні заняття, що охоплюють широкий спектр важливих медичних проблем.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2" w:name="_Hlk49696481"/>
      <w:bookmarkEnd w:id="1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Сторінка в </w:t>
      </w:r>
      <w:r w:rsidRPr="001D3111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Moodle</w:t>
      </w:r>
      <w:r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http</w:t>
        </w:r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://31.128.79.157:8083/</w:t>
        </w:r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course</w:t>
        </w:r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/</w:t>
        </w:r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index</w:t>
        </w:r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.</w:t>
        </w:r>
        <w:proofErr w:type="spellStart"/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php</w:t>
        </w:r>
        <w:proofErr w:type="spellEnd"/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?</w:t>
        </w:r>
        <w:proofErr w:type="spellStart"/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categoryid</w:t>
        </w:r>
        <w:proofErr w:type="spellEnd"/>
        <w:r w:rsidRPr="001D31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=14</w:t>
        </w:r>
      </w:hyperlink>
      <w:r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10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Мета та завдання дисципліни.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Метою викладання навчально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ї дисципліни «Ендокринологія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оцінкою результатів досліджень» є </w:t>
      </w:r>
      <w:r w:rsidRPr="001D3111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здобуття та поглиблення знань, вмінь, навичок та інших </w:t>
      </w:r>
      <w:proofErr w:type="spellStart"/>
      <w:r w:rsidRPr="001D3111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>компет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>ентностей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з ендокринології</w:t>
      </w:r>
      <w:r w:rsidRPr="001D3111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, </w:t>
      </w:r>
      <w:r w:rsidRPr="001D311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необхідних у професійній діяльності, які встановлені на основі освітньо-професійної програми.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     </w:t>
      </w:r>
      <w:r w:rsidRPr="001D3111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Основними завданнями вивчення дисципліни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«Ендокринологія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оцінкою результатів досліджень» є набуття студентами </w:t>
      </w: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згідно до навчального плану підготовки фахівців першого (бакалаврського) рівня вищої освіти галузі знань 22 «Охорона здоров’я» у вищих навчальних закладах МОЗ України за спеціальністю 224 "Технології медичної діагностики та лікування" освітньої кваліфікації «Бакалавр». Для опанування кваліфікації є необхідним: володіння навичками опитування, здатність до визначення необхідного переліку лабораторно-інструментальних досліджень та оцінки їх результатів, встановлення попереднього та клінічного діагнозу захворювання, визначення необхідного 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режиму праці та відпочинку, характеру харчування при лікуванні захворювань, визначення принципів та характеру лікування захворювань, виконання медичних маніпуляцій, діагностування невідкладних станів,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3" w:name="_Hlk49686665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Статус та формат дисципліни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Дисципліна вибіркова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формат змішаний.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Методи навчання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Презентації,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відео-матеріали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методичні рекомендації для викладачів та студентів для очної та дистанційної форм навчання.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Рекомендована література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</w:p>
    <w:p w:rsidR="00825017" w:rsidRDefault="001D3111" w:rsidP="00825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1.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Свінціцький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О.О.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Абрагамович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П.М. Боднар та ін.; За ред. проф. А.С.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Свінціцького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ВСВ «Медицина», 2014. – 1272 с. + 16с.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кольоров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вкл.</w:t>
      </w:r>
    </w:p>
    <w:p w:rsidR="00825017" w:rsidRDefault="00825017" w:rsidP="00825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2</w:t>
      </w:r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Ендокринологія: підручник (П.М. Боднар, Г.П.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Ю.І.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Комісаренко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та ін.) За ред. професора П.М. Боднара, - Вид. 4, перероб. та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– Вінниця: Нова Книга, 2017. – 456 с.</w:t>
      </w:r>
    </w:p>
    <w:p w:rsidR="00825017" w:rsidRPr="00825017" w:rsidRDefault="00825017" w:rsidP="00825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3. </w:t>
      </w:r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Наказ МОЗ України №1021 від 29.12.2014 «Уніфікований клінічний протокол первинної, екстреної, вторинної (спеціалізованої) та третинної (високоспеціалізованої) медичної допомоги «Цукровий діабет 1 типу у молодих людей та дорослих».</w:t>
      </w:r>
    </w:p>
    <w:p w:rsidR="00825017" w:rsidRPr="001D3111" w:rsidRDefault="00825017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4.</w:t>
      </w:r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Эндокринология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учебник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(П.Н. Боднар, Г.П.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Ю.И.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Комиссаренко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и др.)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Под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ред.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профессора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П.Н. Боднара, -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Изд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2,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перераб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и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дополн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Винница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: Нова Книга, 2016. – 488 с.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5.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Davidson's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Practice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Medicine23rd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Edition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Editors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Stuart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Ralston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Ian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Penman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Mark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Strachan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Richard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Hobson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Elsevier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- 2018. – 1440p.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6.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Endocrinology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textbook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/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prof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Petro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M. Bodnar.- 4th 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updated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–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Vinnitsa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Nova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Knyha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2017. – 328 р.</w:t>
      </w:r>
    </w:p>
    <w:p w:rsidR="001D3111" w:rsidRPr="001D3111" w:rsidRDefault="00825017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7</w:t>
      </w:r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USMLE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Step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 CK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Lecture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Notes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2017: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Internal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Medicine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Test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Prep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). - 2016. -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Published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Medical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- 474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pages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825017" w:rsidRDefault="00825017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сайт кафедри внутрішньої медицини № 3 ХНМУ http://www. vnmed3.kharkiv.ua/, встановлене інформаційно-освітнє середовище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Moodle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на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піддомен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сайта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http://distance-training. vnmed3.kharkiv.ua.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Пререквізити</w:t>
      </w:r>
      <w:proofErr w:type="spellEnd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та </w:t>
      </w:r>
      <w:proofErr w:type="spellStart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кореквізити</w:t>
      </w:r>
      <w:proofErr w:type="spellEnd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дисципліни.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Анатомія, фізіологія, гістологія, патологічна анатомія, патологічна фізіологія, пропедевтика внутрішніх хвороб; клінічна фармакологія, хірургія, дитячі хвороби.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4" w:name="_Hlk49691830"/>
      <w:bookmarkEnd w:id="3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Результати навчання.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знань, які здобуває здобувач вищої освіти в процесі вивчення дисципліни: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701" w:hanging="157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основні  клінічні  синдроми  при </w:t>
      </w:r>
      <w:r w:rsidR="008B4B83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ендокринних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захворюваннях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загальні та «тривожні» симптоми при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ахворюваннях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методики проведення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фізикального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обстеження  хворих на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ендокринні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патології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етіопатогенетичні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механізми  розвитку 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захворювань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071A0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сучасні  класифікації,  особливості  перебігу  та  ускладнення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захворювань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; </w:t>
      </w:r>
    </w:p>
    <w:p w:rsidR="001D3111" w:rsidRPr="001D3111" w:rsidRDefault="001D3111" w:rsidP="00071A0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992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lastRenderedPageBreak/>
        <w:t xml:space="preserve">   сучасні  стандарти  та  протоколи  діагностики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 захворювань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42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суча</w:t>
      </w:r>
      <w:r w:rsidR="00071A0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сні  алгоритми лікування  при 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захворюваннях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умінь та навиків, які здобуває здобувач вищої освіти в процесі вивчення дисципліни: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Проводити опитування і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фізикальне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обстеження хворих з основними захворюваннями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ендокринної системи 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та аналізувати їх результати.</w:t>
      </w:r>
    </w:p>
    <w:p w:rsidR="001D3111" w:rsidRPr="001D3111" w:rsidRDefault="001D3111" w:rsidP="001D311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Визначати етіологічні та патогенетичні фактори найбільш поширених захворювань ендокринної системи.</w:t>
      </w:r>
    </w:p>
    <w:p w:rsidR="001D3111" w:rsidRPr="001D3111" w:rsidRDefault="001D3111" w:rsidP="001D311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Аналізувати  типову  клінічну  картину  найбільш  поширених захворювань ендокринної системи.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Виявляти різні клінічні варіанти та ускладнення найбільш поширених захворювань ендокринної системи.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Складати план обстеження хворого та аналізувати дані лабораторних та  інструментальних  обстежень  при  найбільш  поширених  захворюваннях ендокринної системи та їх ускладненнях.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Визначати  тактику  ведення  (рекомендації  стосовно  режиму,  дієти,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лікування, реабілітаційні заходи) хворого та призначати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немедикаментозне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і медикаментозне лікування, в тому числі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прогнозмодифікуюче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при найбільш поширених ендокринної системи та їх ускладненнях.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Оцінювати  прогноз  та  працездатність  при найбільш  поширених захворюваннях ендокринної системи.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Проводити первинну і вторинну профілактику найбільш поширених захворювань ендокринної системи.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Виконувати медичні маніпуляції. 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Демонструвати  володіння  морально-деонтологічними  принципами медичного фахівця та принципами фахової субординації.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bookmarkEnd w:id="4"/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Зміст дисципліни</w:t>
      </w:r>
    </w:p>
    <w:bookmarkEnd w:id="2"/>
    <w:p w:rsid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Навчально-тематичний план</w:t>
      </w:r>
    </w:p>
    <w:p w:rsidR="009D7869" w:rsidRPr="009D7869" w:rsidRDefault="009D7869" w:rsidP="009D786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D7869" w:rsidRPr="009D7869" w:rsidRDefault="009D7869" w:rsidP="005A528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9D7869"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нанізм. Акромегалія.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</w:t>
            </w:r>
            <w:r w:rsidR="009D7869"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E9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 з</w:t>
            </w:r>
            <w:r w:rsidR="009D7869"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D7869" w:rsidRPr="009D7869" w:rsidTr="005A528F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90</w:t>
            </w:r>
          </w:p>
        </w:tc>
      </w:tr>
    </w:tbl>
    <w:p w:rsidR="009D7869" w:rsidRPr="001D3111" w:rsidRDefault="009D7869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D7869" w:rsidRPr="009D7869" w:rsidRDefault="009D7869" w:rsidP="009D7869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78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Теми лекцій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82"/>
      </w:tblGrid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 Лікування.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лекційних годин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9D7869" w:rsidRPr="009D7869" w:rsidRDefault="009D7869" w:rsidP="009D7869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7869" w:rsidRPr="009D7869" w:rsidRDefault="009D7869" w:rsidP="009D7869">
      <w:pPr>
        <w:spacing w:after="0" w:line="240" w:lineRule="auto"/>
        <w:ind w:left="7513" w:hanging="694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7869" w:rsidRPr="009D7869" w:rsidRDefault="009D7869" w:rsidP="009D786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78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8B4B83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 з</w:t>
            </w:r>
            <w:r w:rsidR="009D7869"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</w:tr>
    </w:tbl>
    <w:p w:rsidR="009D7869" w:rsidRPr="009D7869" w:rsidRDefault="009D7869" w:rsidP="009D7869">
      <w:pPr>
        <w:spacing w:after="0" w:line="240" w:lineRule="auto"/>
        <w:ind w:left="7513" w:hanging="694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7869" w:rsidRPr="009D7869" w:rsidRDefault="009D7869" w:rsidP="009D786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78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6. Самостійна робота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32"/>
        <w:gridCol w:w="1620"/>
      </w:tblGrid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ind w:left="142" w:hanging="1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 «Цукровий діабет. Етіологія. Патогенез. Клініка. 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Діагностика.»;</w:t>
            </w:r>
          </w:p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Опанування навичками аналізувати дані лабораторних методів дослідження (тест толерантності до глюкози,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глікемічний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профіль, С-пептид, НbА1с, ліпіди).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 «</w:t>
            </w: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2.»</w:t>
            </w:r>
          </w:p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- 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Опанування навичками інтерпретування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глікемічного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профілю, рівню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глікованого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гемоглобіну, виписування рецептів на основні цукрознижувальні препарати.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 «</w:t>
            </w: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стани.»</w:t>
            </w:r>
          </w:p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-Опанування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навичками надання медичної допомоги хворим з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кетоацидозом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при діабетичній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кетоацидотичній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гіпоглікемічній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«Захворювання щитоподібної залози»;</w:t>
            </w:r>
          </w:p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Опанування навичками трактування даних гормонального обстеження  щитоподібної залози (ТТГ, Т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3, 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АТПО).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«Захворювання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.»</w:t>
            </w:r>
          </w:p>
          <w:p w:rsidR="009D7869" w:rsidRPr="009D7869" w:rsidRDefault="009D7869" w:rsidP="009D786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Опанування навичками трактування даних гормонального обстеження  надниркових залоз (АКТГ,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кортизол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альдостерон, ренін, електроліти крові та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метанефрини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сечі).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«Захворювання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ділянки.»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Опанування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навичками трактування даних гормонального обстеження (СТГ, ІФР-1, вазопресин) та аналізу сечі за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Зимницьким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Підготовка до </w:t>
            </w:r>
            <w:proofErr w:type="spellStart"/>
            <w:r w:rsidRPr="009D786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диф.заліку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9D7869" w:rsidRPr="009D7869" w:rsidTr="005A528F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самостійної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44</w:t>
            </w:r>
          </w:p>
        </w:tc>
      </w:tr>
    </w:tbl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та цінності дисципліни</w:t>
      </w:r>
    </w:p>
    <w:p w:rsidR="001D3111" w:rsidRPr="001D3111" w:rsidRDefault="00863565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Щоб досягти цілей навчання і успішно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прой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курс,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з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першого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включитися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роботу; регулярно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лекції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читати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попередньо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розгляду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практичному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занятті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не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спізнюватися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не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пропускати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приходити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кафедру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одягнутими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медичний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халат,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змінне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взуття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собі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фонендоскоп,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зошит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ручку;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виконувати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всі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щодня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вміти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партнером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складі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звертатися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допомогою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отримувати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коли Ви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потребуєте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D3111" w:rsidRPr="001D3111" w:rsidRDefault="00863565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академічна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мобільність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взаємозамінність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залікових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кредитів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обсяг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 кредиту 30 годин).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можуть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обговорювати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різні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їх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виконання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строго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індивідуально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списування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різного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роду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програмних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засобів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підказки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мобільним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телефоном, планшетом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чи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іншими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електронними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гаджетами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під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запізнення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студентів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Пропуски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практичних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відпрацьовуються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година в годину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черговому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Прийом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консультації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щоденно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15.00 – 17.00, по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суботах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згідно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«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Положення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 порядок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студентами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занять»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07.12.2015 № 415. </w:t>
      </w:r>
    </w:p>
    <w:p w:rsidR="001D3111" w:rsidRPr="001D3111" w:rsidRDefault="00A27BB3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особливими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потребами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повинні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зустрітися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попередити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до</w:t>
      </w:r>
      <w:proofErr w:type="gram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початку</w:t>
      </w:r>
      <w:proofErr w:type="gram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занять, на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прохання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це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може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зробити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староста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Якщо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Вас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виникнуть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які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питання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будь ласка,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контактуйте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оцінювання</w:t>
      </w:r>
    </w:p>
    <w:p w:rsidR="001D3111" w:rsidRPr="001D3111" w:rsidRDefault="00591A1A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Рекомендовано проводити практичні заняття з включенням: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початкового рівня знань за допомогою  тестів, складених у форматі запитання з 5 варіантами відповіді, з яких 1 – правильна;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опитування студентів за темою заняття;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курації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1-2 хворих з захворюваннями та станами, що відповідають тематиці заняття,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протоколів;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розгляду результатів додаткових методів дослідження (лабораторних та інструментальних), які застосовуються при діагностиці і проведенні диференційного діагнозу, розгляд яких передбачений темою практичного заняття;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кінцевого рівня знань за тестовими завданнями.</w:t>
      </w:r>
    </w:p>
    <w:p w:rsidR="001D3111" w:rsidRPr="001D3111" w:rsidRDefault="009E190F" w:rsidP="001D311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Засвоєння теми </w:t>
      </w:r>
      <w:r w:rsidR="001D3111" w:rsidRPr="001D311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(поточний контроль)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контролюється на практичному занятті відповідно до конкретних цілей, засвоєння змістових розділів  – на практичному підсумковому занятті. Рекомендується застосовувати такі </w:t>
      </w:r>
      <w:r w:rsidR="001D3111" w:rsidRPr="001D311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засоби оцінки рівня підготовки студентів: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комп’ютерні тести, розв’язання ситуаційних задач, лабораторних досліджень і трактування та оцінка їх результатів, аналіз і оцінка результатів інструментальних досліджень і параметрів, що характеризують функції організму людини,  контроль засвоєння практичних навичок. </w:t>
      </w:r>
      <w:r w:rsidR="001D3111" w:rsidRPr="001D3111"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  <w:tab/>
      </w:r>
    </w:p>
    <w:p w:rsidR="005A528F" w:rsidRPr="005A528F" w:rsidRDefault="005A528F" w:rsidP="005A528F">
      <w:pPr>
        <w:tabs>
          <w:tab w:val="left" w:pos="851"/>
        </w:tabs>
        <w:spacing w:line="254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bCs/>
          <w:iCs/>
          <w:color w:val="333333"/>
          <w:spacing w:val="-2"/>
          <w:szCs w:val="28"/>
          <w:shd w:val="clear" w:color="auto" w:fill="FFFFFF"/>
          <w:lang w:val="uk-UA"/>
        </w:rPr>
        <w:tab/>
      </w:r>
      <w:r w:rsidRPr="005A528F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  <w:lang w:val="uk-UA"/>
        </w:rPr>
        <w:t>Поточна навчальна діяльність</w:t>
      </w:r>
      <w:r w:rsidRPr="005A528F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> </w:t>
      </w:r>
      <w:r w:rsidRPr="005A528F">
        <w:rPr>
          <w:rFonts w:ascii="Times New Roman" w:eastAsia="Calibri" w:hAnsi="Times New Roman" w:cs="Times New Roman"/>
          <w:iCs/>
          <w:spacing w:val="-2"/>
          <w:sz w:val="28"/>
          <w:szCs w:val="28"/>
          <w:shd w:val="clear" w:color="auto" w:fill="FFFFFF"/>
          <w:lang w:val="uk-UA"/>
        </w:rPr>
        <w:t>(ПНД)</w:t>
      </w:r>
      <w:r w:rsidRPr="005A52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 здійснюється викладачем академічної групи, після засвоєння студентами кожної теми дисципліни та виставляються оцінки з використанням 4-бальної (традиційної) системи. За підсумками семестру середню оцінку (з точністю до сотих) за поточну діяльність викладач автоматично одержує за допомогою електронного журналу системи АСУ та переводить її у бали за допомогою табл. 1. У весняному семестрі вивчення дисципліни завершується </w:t>
      </w:r>
      <w:proofErr w:type="spellStart"/>
      <w:r w:rsidRPr="005A52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заліком.</w:t>
      </w: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50DC3" w:rsidRDefault="00550DC3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50DC3" w:rsidRDefault="00550DC3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Таблиця 1</w:t>
      </w:r>
    </w:p>
    <w:p w:rsidR="005A528F" w:rsidRPr="005A528F" w:rsidRDefault="005A528F" w:rsidP="005A528F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28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Перерахунок середньої оцінки за поточну діяльність у багатобальну шкалу</w:t>
      </w:r>
    </w:p>
    <w:tbl>
      <w:tblPr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791"/>
      </w:tblGrid>
      <w:tr w:rsidR="005A528F" w:rsidRPr="005A528F" w:rsidTr="005A528F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4-бальна шкала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0-бальна шкала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3.91-3,94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3.87-3,9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3.83- 3,86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3.79- 3,82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3.74-3,78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3.7- 3,73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3.66- 3,69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3.62- 3,65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3.58-3,61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3.54- 3,57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3.49- 3,53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3.45-3,48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3.41-3,44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3.37-3,4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3.33- 3,36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3.29-3,32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3.25-3,28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3.21-3,24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3.18-3,2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3.15- 3,17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3.13- 3,14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3.1- 3,12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3.07- 3,09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3.04-3,06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-3,03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3.95- 3,98</w:t>
            </w:r>
          </w:p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</w:t>
            </w:r>
          </w:p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Менше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Недостатньо</w:t>
            </w:r>
          </w:p>
        </w:tc>
      </w:tr>
    </w:tbl>
    <w:p w:rsidR="005A528F" w:rsidRPr="005A528F" w:rsidRDefault="005A528F" w:rsidP="005A528F">
      <w:pPr>
        <w:tabs>
          <w:tab w:val="left" w:pos="851"/>
        </w:tabs>
        <w:spacing w:line="254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ab/>
        <w:t xml:space="preserve">У весняному семестрі </w:t>
      </w:r>
      <w:proofErr w:type="spellStart"/>
      <w:r w:rsidRPr="005A528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. залік з дисципліни - </w:t>
      </w:r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проводиться завідувачем кафедри та викладачем академічної групи. Перед цим студент повинен на </w:t>
      </w:r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 xml:space="preserve">передостанньому практичному занятті одержати допуск до </w:t>
      </w:r>
      <w:proofErr w:type="spellStart"/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. заліку. Для цього викладач одержує </w:t>
      </w:r>
      <w:r w:rsidRPr="005A528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 допомогою електронного журналу системи АСУ середню оцінку (з точністю до сотих) за поточну діяльність та переводить її у бали за допомогою </w:t>
      </w:r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(табл.1), яка визначається у балах від 70 до 120 і ця кількість балів є допуском до складання </w:t>
      </w:r>
      <w:proofErr w:type="spellStart"/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. заліку. 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Диф.залік</w:t>
      </w: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</w:t>
      </w:r>
      <w:proofErr w:type="spellEnd"/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дисципліни «Ендокринологія з оцінкою результатів досліджень» - це процес, протягом якого перевіряються отримані за 3 курс: 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рівень теоретичних знань;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розвиток творчого мислення;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навички самостійної роботи;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компетенції - вміння синтезувати отримані знання і застосовувати їх у вирішенні практичних завдань.</w:t>
      </w:r>
    </w:p>
    <w:p w:rsidR="005A528F" w:rsidRPr="005A528F" w:rsidRDefault="005A528F" w:rsidP="005A528F">
      <w:pPr>
        <w:spacing w:line="254" w:lineRule="auto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Проведення </w:t>
      </w:r>
      <w:proofErr w:type="spellStart"/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. заліку:</w:t>
      </w:r>
    </w:p>
    <w:p w:rsidR="005A528F" w:rsidRPr="005A528F" w:rsidRDefault="005A528F" w:rsidP="005A528F">
      <w:pPr>
        <w:spacing w:line="254" w:lineRule="auto"/>
        <w:ind w:left="-360" w:firstLine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1. Оцінювання теоретичних знань за складеними на кафедрі білетами, які містять по п’ять теоретичних питань, з розділів дисципліни, які вивчалися протягом навчального року, критерії оцінювання теоретичних знань за таблицею 2.</w:t>
      </w:r>
    </w:p>
    <w:p w:rsidR="005A528F" w:rsidRPr="005A528F" w:rsidRDefault="005A528F" w:rsidP="005A528F">
      <w:pPr>
        <w:spacing w:line="254" w:lineRule="auto"/>
        <w:ind w:left="-360" w:firstLine="92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Таблиця 2</w:t>
      </w:r>
    </w:p>
    <w:p w:rsidR="005A528F" w:rsidRPr="005A528F" w:rsidRDefault="005A528F" w:rsidP="005A528F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Оцінювання теоретичних знань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За кожну відповідь студент одержує від 10 до 16 балів, що відповідає:</w:t>
            </w:r>
          </w:p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«5» - 16 балів;</w:t>
            </w:r>
          </w:p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«4» - 13 балів;</w:t>
            </w:r>
          </w:p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«3» - 10 балів.</w:t>
            </w: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складанні </w:t>
      </w:r>
      <w:proofErr w:type="spellStart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. заліку мінімальна кількість балів – 50, максимальна – складає 80 балів.</w:t>
      </w:r>
    </w:p>
    <w:p w:rsidR="005A528F" w:rsidRDefault="005A528F" w:rsidP="005A528F">
      <w:pPr>
        <w:spacing w:line="254" w:lineRule="auto"/>
        <w:ind w:left="142"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Оцінювання самостійної роботи студентів. </w:t>
      </w:r>
      <w:r w:rsidRPr="001D311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5A528F" w:rsidRPr="001D3111" w:rsidRDefault="005A528F" w:rsidP="005A528F">
      <w:pPr>
        <w:spacing w:line="254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Оцінювання</w:t>
      </w:r>
      <w:r w:rsidRPr="001D311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Pr="001D311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індивідуальних завдань студента</w:t>
      </w:r>
      <w:r w:rsidRPr="001D311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1D311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>здійснюється за</w:t>
      </w:r>
      <w:r w:rsidRPr="001D311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uk-UA"/>
        </w:rPr>
        <w:t xml:space="preserve"> умов</w:t>
      </w:r>
      <w:r w:rsidRPr="001D311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 виконання завдань викладача (</w:t>
      </w:r>
      <w:r w:rsidRPr="001D311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доповідь реферату на практичному занятті, доповідь з презентацією на практичному занятті</w:t>
      </w:r>
      <w:r w:rsidRPr="001D311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)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Бали (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не більше як 10) 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додаються, як заохочувальні</w:t>
      </w:r>
      <w:r w:rsidRPr="001D311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. З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агальна сума балів за </w:t>
      </w:r>
      <w:r w:rsidRPr="001D3111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поточну навчальну діяльність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не може перевищувати 120 балів. </w:t>
      </w:r>
    </w:p>
    <w:p w:rsidR="001D3111" w:rsidRPr="001D3111" w:rsidRDefault="001D3111" w:rsidP="005A52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A528F" w:rsidRDefault="005A528F" w:rsidP="005A528F">
      <w:pPr>
        <w:shd w:val="clear" w:color="auto" w:fill="FFFFFF"/>
        <w:tabs>
          <w:tab w:val="left" w:pos="826"/>
        </w:tabs>
        <w:spacing w:after="0" w:line="240" w:lineRule="auto"/>
        <w:ind w:firstLine="82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ПЕРЕЛІК ПИТАНЬ </w:t>
      </w:r>
      <w:r w:rsidRPr="005A528F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uk-UA" w:eastAsia="ru-RU"/>
        </w:rPr>
        <w:t xml:space="preserve">ДЛЯ ДИФ. </w:t>
      </w:r>
      <w:r w:rsidRPr="005A528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  <w:t>ЗАЛІКУ</w:t>
      </w:r>
    </w:p>
    <w:p w:rsidR="00221E84" w:rsidRPr="005A528F" w:rsidRDefault="00221E84" w:rsidP="005A528F">
      <w:pPr>
        <w:shd w:val="clear" w:color="auto" w:fill="FFFFFF"/>
        <w:tabs>
          <w:tab w:val="left" w:pos="826"/>
        </w:tabs>
        <w:spacing w:after="0" w:line="240" w:lineRule="auto"/>
        <w:ind w:firstLine="82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5A528F" w:rsidRPr="00221E84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Етіологія</w:t>
      </w:r>
      <w:proofErr w:type="spellEnd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патогенез </w:t>
      </w:r>
      <w:proofErr w:type="spellStart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цукрового</w:t>
      </w:r>
      <w:proofErr w:type="spellEnd"/>
      <w:r w:rsidR="00221E84" w:rsidRP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діабету</w:t>
      </w:r>
      <w:proofErr w:type="spellEnd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Цукровий діабет тип 1: роль вірусної інфекції та автоімунних процесів, генетичної схильності.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Цукровий діабет тип 2: роль генетичної схильності, ожиріння, зовнішніх факторів.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Класифікація порушень глікемії (ВООЗ, 1999 р.), клінічні форми цукрового діабету.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Клініка цукрового діабету. · Основні клінічні симптоми цукрового діабету. · Характеристика уражень внутрішніх органів за цукрового діабету: серцево-судинної системи,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гепатобіліарної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системи, органів сечовиділення, діабетичні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остеоартропатії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діагностики цукрового діабету та інших категорій гіперглікемії (ВООЗ, 1999 р.).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методи лікування ЦД, дієтотерапія, дозоване фізичне навантаження, цукрознижувальна фармакотерапія, навчання хворого самоконтролю.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Пероральні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цукрознижувальні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· Класифікація препаратів інсуліну, препарати короткої та тривалої дії, аналоги інсуліну ультракороткої та тривалої дії. · Розрахунок добової потреби в інсуліні. · Режим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традиційна та інтенсифікована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Ускладнення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гіпоглікемічні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стани, алергія до інсуліну,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постін’єкційні</w:t>
      </w:r>
      <w:proofErr w:type="spellEnd"/>
      <w:r w:rsidR="00591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ліподистрофії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інсулінорезистентність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хронічне передозування інсуліну (синдром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Сомоджі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інсулінові набряки.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Діабетична нефропатія, стадії розвитку, діагноз, диференційний діагноз, лікування та профілактика. ·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Діабетична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ретинопатія: стадії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процесу, діагноз, профілактика та лікування.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Діабетична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нейропатія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класифікація, діагностика та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діабетичної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стопи: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алгоритм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гіпоглікемічні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стани. Етіологія, патогенез, клініка, діагностика,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Кетоацидотичні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 з діабетичною (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гіперкетонемічною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комою. Етіологія, патогенез, клініка, діагностика, диференційний діагноз,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Гіперосмолярна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неацидотична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Молочнокислий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ацидоз і кома.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Прояви йодного дефіциту. · Визначення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розмірів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щитоподібної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залози. Вікова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динаміка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об’єму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залози. </w:t>
      </w:r>
      <w:r w:rsidRP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“зоб”.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простийнетоксичний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вузловіформи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зобу. ·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Етіологія, патогенез, клінічні прояви дифузного токсичного зобу,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тиреотоксична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ендокринна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офтальмопатія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Медикаментозне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хірургічне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токсичного зобу,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131-йоду з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лікувальною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метою. ·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Гіпотиреоз, етіологія, патогенез та клінічні ознаки.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діагнозу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гіпотиреозу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Тиреоїдити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класифікація, етіологія, клінічний перебіг, діагностика, лікування.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Патоморфологічна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щитоподібної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диспансерного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рак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щитоподібної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. ·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· Хронічна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недостатність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надниркових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залоз (хвороба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Аддісона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Етіологія, патогенез, клініка, діагностика, профілактика та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недостатність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надниркових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залоз. Етіологія, патогенез, клініка, діагностика, профілактика та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Іценко-Кушинга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глюкостерома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Андростерома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Первинний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гіперальдостеронізм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(синдром Кона).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Феохромоцитома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Клініка, діагностика та диференціальна діагностика,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Акромегалія. Етіологія і патогенез. Клініка.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Хвороба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Іценка-Кушинга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Етіологія і патогенез.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Гіпофізарний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нанізм. Етіологія і патогенез. Клініка. Діагностика і диференційна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діагностика.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Нецукровий діабет. Етіологія і патогенез.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="00F9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3111" w:rsidRPr="001D3111" w:rsidRDefault="001D3111" w:rsidP="005A528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</w:p>
    <w:p w:rsidR="0077415C" w:rsidRDefault="0077415C" w:rsidP="00550DC3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</w:p>
    <w:p w:rsidR="0077415C" w:rsidRDefault="0077415C" w:rsidP="00550DC3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</w:p>
    <w:p w:rsidR="00550DC3" w:rsidRPr="005A528F" w:rsidRDefault="00550DC3" w:rsidP="00550DC3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Оцінка з дисципліни</w:t>
      </w:r>
    </w:p>
    <w:p w:rsidR="00550DC3" w:rsidRPr="005A528F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Оцінка з дисципліни визначається як сума балів: середнє арифметичне балів за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семестр, протягом якого вивчалась дисципліна, які переводяться у 120-бальну шкалу ЕСТС (табл.1) у весняному семестрі.  Потім до них додається кількість балів, які студент отримав під час складання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 заліку.</w:t>
      </w:r>
    </w:p>
    <w:p w:rsidR="00550DC3" w:rsidRPr="005A528F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Максимальна кількість балів, яку студент може набрати за вивчення дисципліни </w:t>
      </w:r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–</w:t>
      </w: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:rsidR="00550DC3" w:rsidRDefault="00550DC3" w:rsidP="00550DC3">
      <w:pPr>
        <w:spacing w:line="254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50DC3" w:rsidRPr="005A528F" w:rsidRDefault="00550DC3" w:rsidP="00550DC3">
      <w:pPr>
        <w:spacing w:line="254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415C" w:rsidRDefault="0077415C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415C" w:rsidRDefault="0077415C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415C" w:rsidRDefault="0077415C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50DC3" w:rsidRPr="005A528F" w:rsidRDefault="00550DC3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Відповідність оцінок за </w:t>
      </w:r>
      <w:r w:rsidRPr="005A528F"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  <w:t xml:space="preserve">200 бальною шкалою, </w:t>
      </w:r>
    </w:p>
    <w:p w:rsidR="00550DC3" w:rsidRPr="005A528F" w:rsidRDefault="00550DC3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  <w:t>чотирибальною (національною) шкалою та шкалою ЄСТ</w:t>
      </w:r>
      <w:r w:rsidRPr="005A528F">
        <w:rPr>
          <w:rFonts w:ascii="Times New Roman" w:eastAsia="Calibri" w:hAnsi="Times New Roman" w:cs="Times New Roman"/>
          <w:b/>
          <w:spacing w:val="6"/>
          <w:sz w:val="28"/>
          <w:szCs w:val="28"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</w:t>
            </w:r>
          </w:p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шкалою </w:t>
            </w: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</w:t>
            </w:r>
          </w:p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чотирибальною</w:t>
            </w:r>
            <w:r w:rsidRPr="005A528F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(</w:t>
            </w:r>
            <w:r w:rsidRPr="005A528F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національною) шкалою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550DC3" w:rsidRPr="005A528F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0DC3" w:rsidRPr="00550DC3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кількість балів та відповідну оцінку  у залікову книжку та заповнюють відомості успішності студентів з дисципліни</w:t>
      </w:r>
      <w:r w:rsidRPr="00550DC3">
        <w:rPr>
          <w:sz w:val="28"/>
          <w:szCs w:val="28"/>
          <w:lang w:val="uk-UA" w:eastAsia="ru-RU"/>
        </w:rPr>
        <w:t xml:space="preserve"> </w:t>
      </w:r>
      <w:r w:rsidRPr="00550D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формою </w:t>
      </w:r>
      <w:r w:rsidRPr="00550DC3">
        <w:rPr>
          <w:rFonts w:ascii="Times New Roman" w:hAnsi="Times New Roman" w:cs="Times New Roman"/>
          <w:sz w:val="28"/>
          <w:szCs w:val="28"/>
        </w:rPr>
        <w:t>У-5.03В –</w:t>
      </w:r>
      <w:r w:rsidRPr="00550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0DC3">
        <w:rPr>
          <w:rFonts w:ascii="Times New Roman" w:hAnsi="Times New Roman" w:cs="Times New Roman"/>
          <w:iCs/>
          <w:sz w:val="28"/>
          <w:szCs w:val="28"/>
        </w:rPr>
        <w:t>диф</w:t>
      </w:r>
      <w:proofErr w:type="spellEnd"/>
      <w:r w:rsidRPr="00550DC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50DC3">
        <w:rPr>
          <w:rFonts w:ascii="Times New Roman" w:hAnsi="Times New Roman" w:cs="Times New Roman"/>
          <w:iCs/>
          <w:sz w:val="28"/>
          <w:szCs w:val="28"/>
          <w:lang w:val="uk-UA"/>
        </w:rPr>
        <w:t>залік</w:t>
      </w:r>
      <w:r w:rsidRPr="00550D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550DC3" w:rsidRPr="005A528F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Оцінка «</w:t>
      </w:r>
      <w:r w:rsidRPr="005A52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незадовільно»</w:t>
      </w: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студентам, які були допущені до </w:t>
      </w:r>
      <w:proofErr w:type="spellStart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диф.заліку</w:t>
      </w:r>
      <w:proofErr w:type="spellEnd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але не склали його та які не допущені до складання </w:t>
      </w:r>
      <w:proofErr w:type="spellStart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. заліку.</w:t>
      </w:r>
    </w:p>
    <w:p w:rsidR="005A528F" w:rsidRDefault="005A528F" w:rsidP="001D3111">
      <w:pPr>
        <w:shd w:val="clear" w:color="auto" w:fill="FFFFFF"/>
        <w:tabs>
          <w:tab w:val="left" w:pos="8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Завідувач кафедри внутрішньої медицини №3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ендокринології,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д. мед. н., професор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Л.В. Журавльова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674A1" w:rsidRPr="001D3111" w:rsidRDefault="003674A1">
      <w:pPr>
        <w:rPr>
          <w:lang w:val="uk-UA"/>
        </w:rPr>
      </w:pPr>
    </w:p>
    <w:sectPr w:rsidR="003674A1" w:rsidRPr="001D3111" w:rsidSect="001D31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16"/>
    <w:multiLevelType w:val="hybridMultilevel"/>
    <w:tmpl w:val="5DE6A728"/>
    <w:lvl w:ilvl="0" w:tplc="43160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5DA"/>
    <w:multiLevelType w:val="hybridMultilevel"/>
    <w:tmpl w:val="C32A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9674E"/>
    <w:multiLevelType w:val="hybridMultilevel"/>
    <w:tmpl w:val="C8B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0F6D"/>
    <w:multiLevelType w:val="hybridMultilevel"/>
    <w:tmpl w:val="9DDA31F0"/>
    <w:lvl w:ilvl="0" w:tplc="43160FE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CB03FC"/>
    <w:multiLevelType w:val="hybridMultilevel"/>
    <w:tmpl w:val="FE3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E740F"/>
    <w:multiLevelType w:val="hybridMultilevel"/>
    <w:tmpl w:val="693EED7C"/>
    <w:lvl w:ilvl="0" w:tplc="2EB6571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  <w:rPr>
        <w:rFonts w:cs="Times New Roman"/>
      </w:rPr>
    </w:lvl>
  </w:abstractNum>
  <w:abstractNum w:abstractNumId="9">
    <w:nsid w:val="78150378"/>
    <w:multiLevelType w:val="hybridMultilevel"/>
    <w:tmpl w:val="15B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E"/>
    <w:rsid w:val="00071A01"/>
    <w:rsid w:val="00111FFE"/>
    <w:rsid w:val="001407A1"/>
    <w:rsid w:val="001D3111"/>
    <w:rsid w:val="00221E84"/>
    <w:rsid w:val="003674A1"/>
    <w:rsid w:val="004427C6"/>
    <w:rsid w:val="00456A2B"/>
    <w:rsid w:val="004968DE"/>
    <w:rsid w:val="00550DC3"/>
    <w:rsid w:val="00591A1A"/>
    <w:rsid w:val="005A528F"/>
    <w:rsid w:val="0077415C"/>
    <w:rsid w:val="007F225B"/>
    <w:rsid w:val="00825017"/>
    <w:rsid w:val="00863565"/>
    <w:rsid w:val="008B4B83"/>
    <w:rsid w:val="009D7869"/>
    <w:rsid w:val="009E190F"/>
    <w:rsid w:val="00A27BB3"/>
    <w:rsid w:val="00C64B4A"/>
    <w:rsid w:val="00DD24E0"/>
    <w:rsid w:val="00E475F0"/>
    <w:rsid w:val="00E91F63"/>
    <w:rsid w:val="00F13E58"/>
    <w:rsid w:val="00F91009"/>
    <w:rsid w:val="00FB4A4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D3111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111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1D3111"/>
  </w:style>
  <w:style w:type="character" w:customStyle="1" w:styleId="FontStyle25">
    <w:name w:val="Font Style25"/>
    <w:uiPriority w:val="99"/>
    <w:rsid w:val="001D3111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1D3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1D3111"/>
    <w:rPr>
      <w:rFonts w:ascii="Times New Roman" w:hAnsi="Times New Roman"/>
      <w:b/>
      <w:i/>
      <w:sz w:val="26"/>
    </w:rPr>
  </w:style>
  <w:style w:type="character" w:customStyle="1" w:styleId="go">
    <w:name w:val="go"/>
    <w:rsid w:val="001D3111"/>
  </w:style>
  <w:style w:type="character" w:customStyle="1" w:styleId="FontStyle87">
    <w:name w:val="Font Style87"/>
    <w:rsid w:val="001D311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D3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1D31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D3111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111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1D3111"/>
  </w:style>
  <w:style w:type="character" w:customStyle="1" w:styleId="FontStyle25">
    <w:name w:val="Font Style25"/>
    <w:uiPriority w:val="99"/>
    <w:rsid w:val="001D3111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1D3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1D3111"/>
    <w:rPr>
      <w:rFonts w:ascii="Times New Roman" w:hAnsi="Times New Roman"/>
      <w:b/>
      <w:i/>
      <w:sz w:val="26"/>
    </w:rPr>
  </w:style>
  <w:style w:type="character" w:customStyle="1" w:styleId="go">
    <w:name w:val="go"/>
    <w:rsid w:val="001D3111"/>
  </w:style>
  <w:style w:type="character" w:customStyle="1" w:styleId="FontStyle87">
    <w:name w:val="Font Style87"/>
    <w:rsid w:val="001D311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D3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1D3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index.php?category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zhuravly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2021-01-16T06:54:00Z</dcterms:created>
  <dcterms:modified xsi:type="dcterms:W3CDTF">2021-01-16T06:54:00Z</dcterms:modified>
</cp:coreProperties>
</file>